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19B" w:rsidRDefault="00F0419B">
      <w:pPr>
        <w:pStyle w:val="ConsPlusNormal"/>
        <w:jc w:val="both"/>
      </w:pPr>
      <w:bookmarkStart w:id="0" w:name="_GoBack"/>
      <w:bookmarkEnd w:id="0"/>
    </w:p>
    <w:p w:rsidR="00F0419B" w:rsidRDefault="00F0419B">
      <w:pPr>
        <w:pStyle w:val="ConsPlusTitle"/>
        <w:jc w:val="center"/>
      </w:pPr>
      <w:r>
        <w:t>ПРАВИТЕЛЬСТВО РОССИЙСКОЙ ФЕДЕРАЦИИ</w:t>
      </w:r>
    </w:p>
    <w:p w:rsidR="00F0419B" w:rsidRDefault="00F0419B">
      <w:pPr>
        <w:pStyle w:val="ConsPlusTitle"/>
        <w:jc w:val="center"/>
      </w:pPr>
    </w:p>
    <w:p w:rsidR="00F0419B" w:rsidRDefault="00F0419B">
      <w:pPr>
        <w:pStyle w:val="ConsPlusTitle"/>
        <w:jc w:val="center"/>
      </w:pPr>
      <w:r>
        <w:t>ПОСТАНОВЛЕНИЕ</w:t>
      </w:r>
    </w:p>
    <w:p w:rsidR="00F0419B" w:rsidRDefault="00F0419B">
      <w:pPr>
        <w:pStyle w:val="ConsPlusTitle"/>
        <w:jc w:val="center"/>
      </w:pPr>
      <w:r>
        <w:t>от 30 декабря 2011 г. N 1240</w:t>
      </w:r>
    </w:p>
    <w:p w:rsidR="00F0419B" w:rsidRDefault="00F0419B">
      <w:pPr>
        <w:pStyle w:val="ConsPlusTitle"/>
        <w:jc w:val="center"/>
      </w:pPr>
    </w:p>
    <w:p w:rsidR="00F0419B" w:rsidRDefault="00F0419B">
      <w:pPr>
        <w:pStyle w:val="ConsPlusTitle"/>
        <w:jc w:val="center"/>
      </w:pPr>
      <w:r>
        <w:t>О ПРОВЕДЕНИИ ТЕХНИЧЕСКОГО ОСМОТРА ТРАНСПОРТНЫХ СРЕДСТВ</w:t>
      </w:r>
    </w:p>
    <w:p w:rsidR="00F0419B" w:rsidRDefault="00F0419B">
      <w:pPr>
        <w:pStyle w:val="ConsPlusTitle"/>
        <w:jc w:val="center"/>
      </w:pPr>
      <w:r>
        <w:t>ГОРОДСКОГО НАЗЕМНОГО ЭЛЕКТРИЧЕСКОГО ТРАНСПОРТА</w:t>
      </w:r>
    </w:p>
    <w:p w:rsidR="00F0419B" w:rsidRDefault="00F0419B">
      <w:pPr>
        <w:pStyle w:val="ConsPlusNormal"/>
        <w:jc w:val="center"/>
      </w:pPr>
      <w:r>
        <w:t>Список изменяющих документов</w:t>
      </w:r>
    </w:p>
    <w:p w:rsidR="00F0419B" w:rsidRDefault="00F0419B">
      <w:pPr>
        <w:pStyle w:val="ConsPlusNormal"/>
        <w:jc w:val="center"/>
      </w:pPr>
      <w:proofErr w:type="gramStart"/>
      <w:r>
        <w:t xml:space="preserve">(в ред. Постановлений Правительства РФ от 29.11.2012 </w:t>
      </w:r>
      <w:hyperlink r:id="rId5" w:history="1">
        <w:r>
          <w:rPr>
            <w:color w:val="0000FF"/>
          </w:rPr>
          <w:t>N 1236</w:t>
        </w:r>
      </w:hyperlink>
      <w:r>
        <w:t>,</w:t>
      </w:r>
      <w:proofErr w:type="gramEnd"/>
    </w:p>
    <w:p w:rsidR="00F0419B" w:rsidRDefault="00F0419B">
      <w:pPr>
        <w:pStyle w:val="ConsPlusNormal"/>
        <w:jc w:val="center"/>
      </w:pPr>
      <w:r>
        <w:t xml:space="preserve">от 05.08.2014 </w:t>
      </w:r>
      <w:hyperlink r:id="rId6" w:history="1">
        <w:r>
          <w:rPr>
            <w:color w:val="0000FF"/>
          </w:rPr>
          <w:t>N 769</w:t>
        </w:r>
      </w:hyperlink>
      <w:r>
        <w:t xml:space="preserve">, от 06.06.2015 </w:t>
      </w:r>
      <w:hyperlink r:id="rId7" w:history="1">
        <w:r>
          <w:rPr>
            <w:color w:val="0000FF"/>
          </w:rPr>
          <w:t>N 557</w:t>
        </w:r>
      </w:hyperlink>
      <w:r>
        <w:t>,</w:t>
      </w:r>
    </w:p>
    <w:p w:rsidR="00F0419B" w:rsidRDefault="00F0419B">
      <w:pPr>
        <w:pStyle w:val="ConsPlusNormal"/>
        <w:jc w:val="center"/>
      </w:pPr>
      <w:r>
        <w:t xml:space="preserve">от 04.09.2015 </w:t>
      </w:r>
      <w:hyperlink r:id="rId8" w:history="1">
        <w:r>
          <w:rPr>
            <w:color w:val="0000FF"/>
          </w:rPr>
          <w:t>N 941</w:t>
        </w:r>
      </w:hyperlink>
      <w:r>
        <w:t xml:space="preserve">, от 03.11.2015 </w:t>
      </w:r>
      <w:hyperlink r:id="rId9" w:history="1">
        <w:r>
          <w:rPr>
            <w:color w:val="0000FF"/>
          </w:rPr>
          <w:t>N 1195</w:t>
        </w:r>
      </w:hyperlink>
      <w:r>
        <w:t>)</w:t>
      </w: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  <w:r>
        <w:t xml:space="preserve">В соответствии со </w:t>
      </w:r>
      <w:hyperlink r:id="rId10" w:history="1">
        <w:r>
          <w:rPr>
            <w:color w:val="0000FF"/>
          </w:rPr>
          <w:t>статьей 2</w:t>
        </w:r>
      </w:hyperlink>
      <w:r>
        <w:t xml:space="preserve"> Федерального закона "О техническом осмотре транспортных средств и о внесении изменений в отдельные законодательные акты Российской Федерации" Правительство Российской Федерации постановляет:</w:t>
      </w:r>
    </w:p>
    <w:p w:rsidR="00F0419B" w:rsidRDefault="00F0419B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33" w:history="1">
        <w:r>
          <w:rPr>
            <w:color w:val="0000FF"/>
          </w:rPr>
          <w:t>Правила</w:t>
        </w:r>
      </w:hyperlink>
      <w:r>
        <w:t xml:space="preserve"> проведения технического осмотра транспортных средств городского наземного электрического транспорта.</w:t>
      </w:r>
    </w:p>
    <w:p w:rsidR="00F0419B" w:rsidRDefault="00F0419B">
      <w:pPr>
        <w:pStyle w:val="ConsPlusNormal"/>
        <w:ind w:firstLine="540"/>
        <w:jc w:val="both"/>
      </w:pPr>
      <w:r>
        <w:t>2. Установить, что начиная с 1 июля 2012 г. транспортные средства городского наземного электрического транспорта подлежат техническому осмотру со следующей периодичностью:</w:t>
      </w:r>
    </w:p>
    <w:p w:rsidR="00F0419B" w:rsidRDefault="00F0419B">
      <w:pPr>
        <w:pStyle w:val="ConsPlusNormal"/>
        <w:ind w:firstLine="540"/>
        <w:jc w:val="both"/>
      </w:pPr>
      <w:r>
        <w:t>каждые 6 месяцев - транспортные средства, предназначенные для перевозки пассажиров;</w:t>
      </w:r>
    </w:p>
    <w:p w:rsidR="00F0419B" w:rsidRDefault="00F0419B">
      <w:pPr>
        <w:pStyle w:val="ConsPlusNormal"/>
        <w:ind w:firstLine="540"/>
        <w:jc w:val="both"/>
      </w:pPr>
      <w:r>
        <w:t>каждые 12 месяцев - транспортные средства, предназначенные для перевозки грузов.</w:t>
      </w:r>
    </w:p>
    <w:p w:rsidR="00F0419B" w:rsidRDefault="00F0419B">
      <w:pPr>
        <w:pStyle w:val="ConsPlusNormal"/>
        <w:ind w:firstLine="540"/>
        <w:jc w:val="both"/>
      </w:pPr>
      <w:r>
        <w:t>3. Настоящее постановление вступает в силу с 1 января 2012 г.</w:t>
      </w: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jc w:val="right"/>
      </w:pPr>
      <w:r>
        <w:t>Председатель Правительства</w:t>
      </w:r>
    </w:p>
    <w:p w:rsidR="00F0419B" w:rsidRDefault="00F0419B">
      <w:pPr>
        <w:pStyle w:val="ConsPlusNormal"/>
        <w:jc w:val="right"/>
      </w:pPr>
      <w:r>
        <w:t>Российской Федерации</w:t>
      </w:r>
    </w:p>
    <w:p w:rsidR="00F0419B" w:rsidRDefault="00F0419B">
      <w:pPr>
        <w:pStyle w:val="ConsPlusNormal"/>
        <w:jc w:val="right"/>
      </w:pPr>
      <w:r>
        <w:t>В.ПУТИН</w:t>
      </w: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jc w:val="right"/>
      </w:pPr>
      <w:proofErr w:type="gramStart"/>
      <w:r>
        <w:t>Утверждены</w:t>
      </w:r>
      <w:proofErr w:type="gramEnd"/>
    </w:p>
    <w:p w:rsidR="00F0419B" w:rsidRDefault="00F0419B">
      <w:pPr>
        <w:pStyle w:val="ConsPlusNormal"/>
        <w:jc w:val="right"/>
      </w:pPr>
      <w:r>
        <w:t>постановлением Правительства</w:t>
      </w:r>
    </w:p>
    <w:p w:rsidR="00F0419B" w:rsidRDefault="00F0419B">
      <w:pPr>
        <w:pStyle w:val="ConsPlusNormal"/>
        <w:jc w:val="right"/>
      </w:pPr>
      <w:r>
        <w:t>Российской Федерации</w:t>
      </w:r>
    </w:p>
    <w:p w:rsidR="00F0419B" w:rsidRDefault="00F0419B">
      <w:pPr>
        <w:pStyle w:val="ConsPlusNormal"/>
        <w:jc w:val="right"/>
      </w:pPr>
      <w:r>
        <w:t>от 30 декабря 2011 г. N 1240</w:t>
      </w: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Title"/>
        <w:jc w:val="center"/>
      </w:pPr>
      <w:bookmarkStart w:id="1" w:name="P33"/>
      <w:bookmarkEnd w:id="1"/>
      <w:r>
        <w:t>ПРАВИЛА</w:t>
      </w:r>
    </w:p>
    <w:p w:rsidR="00F0419B" w:rsidRDefault="00F0419B">
      <w:pPr>
        <w:pStyle w:val="ConsPlusTitle"/>
        <w:jc w:val="center"/>
      </w:pPr>
      <w:r>
        <w:t>ПРОВЕДЕНИЯ ТЕХНИЧЕСКОГО ОСМОТРА ТРАНСПОРТНЫХ СРЕДСТВ</w:t>
      </w:r>
    </w:p>
    <w:p w:rsidR="00F0419B" w:rsidRDefault="00F0419B">
      <w:pPr>
        <w:pStyle w:val="ConsPlusTitle"/>
        <w:jc w:val="center"/>
      </w:pPr>
      <w:r>
        <w:t>ГОРОДСКОГО НАЗЕМНОГО ЭЛЕКТРИЧЕСКОГО ТРАНСПОРТА</w:t>
      </w:r>
    </w:p>
    <w:p w:rsidR="00F0419B" w:rsidRDefault="00F0419B">
      <w:pPr>
        <w:pStyle w:val="ConsPlusNormal"/>
        <w:jc w:val="center"/>
      </w:pPr>
      <w:r>
        <w:t>Список изменяющих документов</w:t>
      </w:r>
    </w:p>
    <w:p w:rsidR="00F0419B" w:rsidRDefault="00F0419B">
      <w:pPr>
        <w:pStyle w:val="ConsPlusNormal"/>
        <w:jc w:val="center"/>
      </w:pPr>
      <w:proofErr w:type="gramStart"/>
      <w:r>
        <w:t xml:space="preserve">(в ред. Постановлений Правительства РФ от 29.11.2012 </w:t>
      </w:r>
      <w:hyperlink r:id="rId11" w:history="1">
        <w:r>
          <w:rPr>
            <w:color w:val="0000FF"/>
          </w:rPr>
          <w:t>N 1236</w:t>
        </w:r>
      </w:hyperlink>
      <w:r>
        <w:t>,</w:t>
      </w:r>
      <w:proofErr w:type="gramEnd"/>
    </w:p>
    <w:p w:rsidR="00F0419B" w:rsidRDefault="00F0419B">
      <w:pPr>
        <w:pStyle w:val="ConsPlusNormal"/>
        <w:jc w:val="center"/>
      </w:pPr>
      <w:r>
        <w:t xml:space="preserve">от 05.08.2014 </w:t>
      </w:r>
      <w:hyperlink r:id="rId12" w:history="1">
        <w:r>
          <w:rPr>
            <w:color w:val="0000FF"/>
          </w:rPr>
          <w:t>N 769</w:t>
        </w:r>
      </w:hyperlink>
      <w:r>
        <w:t xml:space="preserve">, от 06.06.2015 </w:t>
      </w:r>
      <w:hyperlink r:id="rId13" w:history="1">
        <w:r>
          <w:rPr>
            <w:color w:val="0000FF"/>
          </w:rPr>
          <w:t>N 557</w:t>
        </w:r>
      </w:hyperlink>
      <w:r>
        <w:t>,</w:t>
      </w:r>
    </w:p>
    <w:p w:rsidR="00F0419B" w:rsidRDefault="00F0419B">
      <w:pPr>
        <w:pStyle w:val="ConsPlusNormal"/>
        <w:jc w:val="center"/>
      </w:pPr>
      <w:r>
        <w:t xml:space="preserve">от 04.09.2015 </w:t>
      </w:r>
      <w:hyperlink r:id="rId14" w:history="1">
        <w:r>
          <w:rPr>
            <w:color w:val="0000FF"/>
          </w:rPr>
          <w:t>N 941</w:t>
        </w:r>
      </w:hyperlink>
      <w:r>
        <w:t xml:space="preserve">, от 03.11.2015 </w:t>
      </w:r>
      <w:hyperlink r:id="rId15" w:history="1">
        <w:r>
          <w:rPr>
            <w:color w:val="0000FF"/>
          </w:rPr>
          <w:t>N 1195</w:t>
        </w:r>
      </w:hyperlink>
      <w:r>
        <w:t>)</w:t>
      </w: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Настоящие Правила устанавливают порядок оказания услуг по проведению технического осмотра транспортных средств городского наземного электрического транспорта (далее соответственно - транспортное средство, технический осмотр), включая оценку соответствия транспортных средств, в том числе их частей и предметов их дополнительного оборудования, обязательным требованиям безопасности находящихся в эксплуатации транспортных средств, проводимую в форме технического диагностирования, в целях допуска этих транспортных средств к участию в дорожном</w:t>
      </w:r>
      <w:proofErr w:type="gramEnd"/>
      <w:r>
        <w:t xml:space="preserve"> </w:t>
      </w:r>
      <w:proofErr w:type="gramStart"/>
      <w:r>
        <w:t>движении</w:t>
      </w:r>
      <w:proofErr w:type="gramEnd"/>
      <w:r>
        <w:t>.</w:t>
      </w:r>
    </w:p>
    <w:p w:rsidR="00F0419B" w:rsidRDefault="00F0419B">
      <w:pPr>
        <w:pStyle w:val="ConsPlusNormal"/>
        <w:ind w:firstLine="540"/>
        <w:jc w:val="both"/>
      </w:pPr>
      <w:r>
        <w:t xml:space="preserve">2. Требования и параметры, предъявляемые к троллейбусам при проведении технического осмотра, приведены в </w:t>
      </w:r>
      <w:hyperlink w:anchor="P78" w:history="1">
        <w:r>
          <w:rPr>
            <w:color w:val="0000FF"/>
          </w:rPr>
          <w:t>приложении N 1</w:t>
        </w:r>
      </w:hyperlink>
      <w:r>
        <w:t xml:space="preserve">. Требования и параметры, предъявляемые к трамвайным </w:t>
      </w:r>
      <w:r>
        <w:lastRenderedPageBreak/>
        <w:t xml:space="preserve">вагонам при проведении технического осмотра, приведены в </w:t>
      </w:r>
      <w:hyperlink w:anchor="P196" w:history="1">
        <w:r>
          <w:rPr>
            <w:color w:val="0000FF"/>
          </w:rPr>
          <w:t>приложении N 1(1)</w:t>
        </w:r>
      </w:hyperlink>
      <w:r>
        <w:t>.</w:t>
      </w:r>
    </w:p>
    <w:p w:rsidR="00F0419B" w:rsidRDefault="00F0419B">
      <w:pPr>
        <w:pStyle w:val="ConsPlusNormal"/>
        <w:jc w:val="both"/>
      </w:pPr>
      <w:r>
        <w:t xml:space="preserve">(п. 2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03.11.2015 N 1195)</w:t>
      </w:r>
    </w:p>
    <w:p w:rsidR="00F0419B" w:rsidRDefault="00F0419B">
      <w:pPr>
        <w:pStyle w:val="ConsPlusNormal"/>
        <w:ind w:firstLine="540"/>
        <w:jc w:val="both"/>
      </w:pPr>
      <w:r>
        <w:t xml:space="preserve">3. </w:t>
      </w:r>
      <w:proofErr w:type="gramStart"/>
      <w:r>
        <w:t>К транспортным средствам при проведении технического осмотра не применяются требования, касающиеся наличия подлежащих проверке элементов конструкции, которые не были предусмотрены на транспортном средстве на момент его выпуска в обращение, при условии отсутствия внесения изменений в его конструкцию в части указанных элементов и содержащих их узлов и агрегатов.</w:t>
      </w:r>
      <w:proofErr w:type="gramEnd"/>
    </w:p>
    <w:p w:rsidR="00F0419B" w:rsidRDefault="00F0419B">
      <w:pPr>
        <w:pStyle w:val="ConsPlusNormal"/>
        <w:ind w:firstLine="540"/>
        <w:jc w:val="both"/>
      </w:pPr>
      <w:r>
        <w:t>4. Технический осмотр проводится оператором технического осмотра, аккредитованным в установленном порядке в области осуществления деятельности по проведению технического осмотра.</w:t>
      </w:r>
    </w:p>
    <w:p w:rsidR="00F0419B" w:rsidRDefault="00F0419B">
      <w:pPr>
        <w:pStyle w:val="ConsPlusNormal"/>
        <w:ind w:firstLine="540"/>
        <w:jc w:val="both"/>
      </w:pPr>
      <w:bookmarkStart w:id="2" w:name="P46"/>
      <w:bookmarkEnd w:id="2"/>
      <w:r>
        <w:t xml:space="preserve">5. </w:t>
      </w:r>
      <w:proofErr w:type="gramStart"/>
      <w:r>
        <w:t xml:space="preserve">Проведение технического осмотра осуществляется на платной основе в соответствии с договором о проведении технического осмотра, заключаемым владельцем транспортного средства или его представителем, в том числе представителем, действующим на основании доверенности, оформленной в письменной форме (далее - заявитель), и оператором технического осмотра, по </w:t>
      </w:r>
      <w:hyperlink r:id="rId17" w:history="1">
        <w:r>
          <w:rPr>
            <w:color w:val="0000FF"/>
          </w:rPr>
          <w:t>типовой форме</w:t>
        </w:r>
      </w:hyperlink>
      <w:r>
        <w:t>, утвержденной Министерством экономического развития Российской Федерации.</w:t>
      </w:r>
      <w:proofErr w:type="gramEnd"/>
    </w:p>
    <w:p w:rsidR="00F0419B" w:rsidRDefault="00F0419B">
      <w:pPr>
        <w:pStyle w:val="ConsPlusNormal"/>
        <w:ind w:firstLine="540"/>
        <w:jc w:val="both"/>
      </w:pPr>
      <w:r>
        <w:t xml:space="preserve">6. Размер платы за проведение технического осмотра и размер платы за проведение повторного технического осмотра, который определяется объемом выполненных работ, устанавливаются оператором технического осмотра и не могут превышать предельный размер, установленный </w:t>
      </w:r>
      <w:proofErr w:type="gramStart"/>
      <w:r>
        <w:t>высшим исполнительным</w:t>
      </w:r>
      <w:proofErr w:type="gramEnd"/>
      <w:r>
        <w:t xml:space="preserve"> органом государственной власти субъекта Российской Федерации в соответствии с </w:t>
      </w:r>
      <w:hyperlink r:id="rId18" w:history="1">
        <w:r>
          <w:rPr>
            <w:color w:val="0000FF"/>
          </w:rPr>
          <w:t>методикой</w:t>
        </w:r>
      </w:hyperlink>
      <w:r>
        <w:t>, утвержденной Федеральной антимонопольной службой.</w:t>
      </w:r>
    </w:p>
    <w:p w:rsidR="00F0419B" w:rsidRDefault="00F0419B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04.09.2015 N 941)</w:t>
      </w:r>
    </w:p>
    <w:p w:rsidR="00F0419B" w:rsidRDefault="00F0419B">
      <w:pPr>
        <w:pStyle w:val="ConsPlusNormal"/>
        <w:ind w:firstLine="540"/>
        <w:jc w:val="both"/>
      </w:pPr>
      <w:r>
        <w:t xml:space="preserve">7. </w:t>
      </w:r>
      <w:proofErr w:type="gramStart"/>
      <w:r>
        <w:t xml:space="preserve">Операторы технического осмотра обеспечивают размещение в сети Интернет и в пункте технического осмотра в удобном для ознакомления месте и виде текста Федерального </w:t>
      </w:r>
      <w:hyperlink r:id="rId20" w:history="1">
        <w:r>
          <w:rPr>
            <w:color w:val="0000FF"/>
          </w:rPr>
          <w:t>закона</w:t>
        </w:r>
      </w:hyperlink>
      <w:r>
        <w:t xml:space="preserve"> "О техническом осмотре транспортных средств и о внесении изменений в отдельные законодательные акты Российской Федерации", настоящих Правил, информации справочного характера (в том числе адресов оператора технического осмотра и пункта технического осмотра, номеров телефонов, адреса электронной почты, адреса</w:t>
      </w:r>
      <w:proofErr w:type="gramEnd"/>
      <w:r>
        <w:t xml:space="preserve"> </w:t>
      </w:r>
      <w:proofErr w:type="gramStart"/>
      <w:r>
        <w:t xml:space="preserve">сайта оператора технического осмотра в сети Интернет), актуальной информации о режиме работы пункта технического осмотра, информации о размерах платы за услуги по проведению технического осмотра, перечня документов, необходимых для прохождения технического осмотра, копии аттестата аккредитации (за исключением организаций, указанных в </w:t>
      </w:r>
      <w:hyperlink r:id="rId21" w:history="1">
        <w:r>
          <w:rPr>
            <w:color w:val="0000FF"/>
          </w:rPr>
          <w:t>части 7 статьи 32</w:t>
        </w:r>
      </w:hyperlink>
      <w:r>
        <w:t xml:space="preserve"> Федерального закона "О техническом осмотре транспортных средств и о внесении изменений в отдельные законодательные акты Российской</w:t>
      </w:r>
      <w:proofErr w:type="gramEnd"/>
      <w:r>
        <w:t xml:space="preserve"> </w:t>
      </w:r>
      <w:proofErr w:type="gramStart"/>
      <w:r>
        <w:t>Федерации"), типовой формы договора о проведении технического осмотра, а также обеспечивают возможность предварительной записи на технический осмотр.</w:t>
      </w:r>
      <w:proofErr w:type="gramEnd"/>
    </w:p>
    <w:p w:rsidR="00F0419B" w:rsidRDefault="00F0419B">
      <w:pPr>
        <w:pStyle w:val="ConsPlusNormal"/>
        <w:ind w:firstLine="540"/>
        <w:jc w:val="both"/>
      </w:pPr>
      <w:r>
        <w:t>8. Технический осмотр проводится с использованием средств технического диагностирования, включая передвижные средства, непосредственно в месте размещения трамвайного депо или троллейбусного парка при условии обеспечения всех необходимых производственных и организационных условий для проведения технического осмотра.</w:t>
      </w:r>
    </w:p>
    <w:p w:rsidR="00F0419B" w:rsidRDefault="00F0419B">
      <w:pPr>
        <w:pStyle w:val="ConsPlusNormal"/>
        <w:ind w:firstLine="540"/>
        <w:jc w:val="both"/>
      </w:pPr>
      <w:r>
        <w:t xml:space="preserve">Основные технические </w:t>
      </w:r>
      <w:hyperlink r:id="rId22" w:history="1">
        <w:r>
          <w:rPr>
            <w:color w:val="0000FF"/>
          </w:rPr>
          <w:t>характеристики</w:t>
        </w:r>
      </w:hyperlink>
      <w:r>
        <w:t xml:space="preserve"> средств технического диагностирования и их перечень утверждаются Министерством промышленности и торговли Российской Федерации.</w:t>
      </w:r>
    </w:p>
    <w:p w:rsidR="00F0419B" w:rsidRDefault="00F0419B">
      <w:pPr>
        <w:pStyle w:val="ConsPlusNormal"/>
        <w:jc w:val="both"/>
      </w:pPr>
      <w:r>
        <w:t xml:space="preserve">(абзац введен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Правительства РФ от 05.08.2014 N 769)</w:t>
      </w:r>
    </w:p>
    <w:p w:rsidR="00F0419B" w:rsidRDefault="00F0419B">
      <w:pPr>
        <w:pStyle w:val="ConsPlusNormal"/>
        <w:ind w:firstLine="540"/>
        <w:jc w:val="both"/>
      </w:pPr>
      <w:bookmarkStart w:id="3" w:name="P53"/>
      <w:bookmarkEnd w:id="3"/>
      <w:r>
        <w:t xml:space="preserve">9. Для проведения технического осмотра заявитель </w:t>
      </w:r>
      <w:proofErr w:type="gramStart"/>
      <w:r>
        <w:t>представляет транспортное средство</w:t>
      </w:r>
      <w:proofErr w:type="gramEnd"/>
      <w:r>
        <w:t xml:space="preserve"> и следующие документы:</w:t>
      </w:r>
    </w:p>
    <w:p w:rsidR="00F0419B" w:rsidRDefault="00F0419B">
      <w:pPr>
        <w:pStyle w:val="ConsPlusNormal"/>
        <w:ind w:firstLine="540"/>
        <w:jc w:val="both"/>
      </w:pPr>
      <w:r>
        <w:t>документ, удостоверяющий личность, и доверенность (для представителя владельца транспортного средства);</w:t>
      </w:r>
    </w:p>
    <w:p w:rsidR="00F0419B" w:rsidRDefault="00F0419B">
      <w:pPr>
        <w:pStyle w:val="ConsPlusNormal"/>
        <w:ind w:firstLine="540"/>
        <w:jc w:val="both"/>
      </w:pPr>
      <w:r>
        <w:t>регистрационные документы на транспортное средство.</w:t>
      </w:r>
    </w:p>
    <w:p w:rsidR="00F0419B" w:rsidRDefault="00F0419B">
      <w:pPr>
        <w:pStyle w:val="ConsPlusNormal"/>
        <w:jc w:val="both"/>
      </w:pPr>
      <w:r>
        <w:t xml:space="preserve">(п. 9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РФ от 03.11.2015 N 1195)</w:t>
      </w:r>
    </w:p>
    <w:p w:rsidR="00F0419B" w:rsidRDefault="00F0419B">
      <w:pPr>
        <w:pStyle w:val="ConsPlusNormal"/>
        <w:ind w:firstLine="540"/>
        <w:jc w:val="both"/>
      </w:pPr>
      <w:r>
        <w:t xml:space="preserve">10. В случае непредставления заявителем документов, указанных в </w:t>
      </w:r>
      <w:hyperlink w:anchor="P53" w:history="1">
        <w:r>
          <w:rPr>
            <w:color w:val="0000FF"/>
          </w:rPr>
          <w:t>пункте 9</w:t>
        </w:r>
      </w:hyperlink>
      <w:r>
        <w:t xml:space="preserve"> настоящих Правил, либо несоответствия транспортного средства данным, указанным в документах, содержащих сведения, позволяющие идентифицировать это транспортное средство, оператор технического осмотра отказывает заявителю в оказании услуг по техническому осмотру.</w:t>
      </w:r>
    </w:p>
    <w:p w:rsidR="00F0419B" w:rsidRDefault="00F0419B">
      <w:pPr>
        <w:pStyle w:val="ConsPlusNormal"/>
        <w:ind w:firstLine="540"/>
        <w:jc w:val="both"/>
      </w:pPr>
      <w:r>
        <w:t xml:space="preserve">11. В случае соответствия транспортного средства данным, указанным в представленных </w:t>
      </w:r>
      <w:r>
        <w:lastRenderedPageBreak/>
        <w:t>документах, после его идентификации транспортное средство допускается к проведению технического диагностирования.</w:t>
      </w:r>
    </w:p>
    <w:p w:rsidR="00F0419B" w:rsidRDefault="00F0419B">
      <w:pPr>
        <w:pStyle w:val="ConsPlusNormal"/>
        <w:ind w:firstLine="540"/>
        <w:jc w:val="both"/>
      </w:pPr>
      <w:r>
        <w:t xml:space="preserve">До начала проведения технического диагностирования заявителем производится оплата услуг, оказываемых по договору, предусмотренному </w:t>
      </w:r>
      <w:hyperlink w:anchor="P46" w:history="1">
        <w:r>
          <w:rPr>
            <w:color w:val="0000FF"/>
          </w:rPr>
          <w:t>пунктом 5</w:t>
        </w:r>
      </w:hyperlink>
      <w:r>
        <w:t xml:space="preserve"> настоящих Правил, что подтверждает заключение договора.</w:t>
      </w:r>
    </w:p>
    <w:p w:rsidR="00F0419B" w:rsidRDefault="00F0419B">
      <w:pPr>
        <w:pStyle w:val="ConsPlusNormal"/>
        <w:ind w:firstLine="540"/>
        <w:jc w:val="both"/>
      </w:pPr>
      <w:r>
        <w:t xml:space="preserve">12. Техническое диагностирование проводится техническим экспертом, являющимся работником оператора технического осмотра и отвечающим квалификационным </w:t>
      </w:r>
      <w:hyperlink r:id="rId25" w:history="1">
        <w:r>
          <w:rPr>
            <w:color w:val="0000FF"/>
          </w:rPr>
          <w:t>требованиям</w:t>
        </w:r>
      </w:hyperlink>
      <w:r>
        <w:t>, установленным Министерством промышленности и торговли Российской Федерации.</w:t>
      </w:r>
    </w:p>
    <w:p w:rsidR="00F0419B" w:rsidRDefault="00F0419B">
      <w:pPr>
        <w:pStyle w:val="ConsPlusNormal"/>
        <w:ind w:firstLine="540"/>
        <w:jc w:val="both"/>
      </w:pPr>
      <w:r>
        <w:t>13. Техническое диагностирование проводится методами визуального, органолептического контроля и (или) с использованием средств технического диагностирования.</w:t>
      </w:r>
    </w:p>
    <w:p w:rsidR="00F0419B" w:rsidRDefault="00F0419B">
      <w:pPr>
        <w:pStyle w:val="ConsPlusNormal"/>
        <w:ind w:firstLine="540"/>
        <w:jc w:val="both"/>
      </w:pPr>
      <w:r>
        <w:t>14. Продолжительность технического диагностирования 1 транспортного средства составляет 50 минут.</w:t>
      </w:r>
    </w:p>
    <w:p w:rsidR="00F0419B" w:rsidRDefault="00F0419B">
      <w:pPr>
        <w:pStyle w:val="ConsPlusNormal"/>
        <w:ind w:firstLine="540"/>
        <w:jc w:val="both"/>
      </w:pPr>
      <w:r>
        <w:t xml:space="preserve">15. </w:t>
      </w:r>
      <w:proofErr w:type="gramStart"/>
      <w:r>
        <w:t xml:space="preserve">По завершении процедуры технического диагностирования оператор технического осмотра осуществляет оформление и выдачу заявителю диагностической карты, содержащей заключение о возможности или невозможности эксплуатации транспортного средства, по форме, приведенной в </w:t>
      </w:r>
      <w:hyperlink w:anchor="P328" w:history="1">
        <w:r>
          <w:rPr>
            <w:color w:val="0000FF"/>
          </w:rPr>
          <w:t>приложении N 2</w:t>
        </w:r>
      </w:hyperlink>
      <w:r>
        <w:t>.</w:t>
      </w:r>
      <w:proofErr w:type="gramEnd"/>
    </w:p>
    <w:p w:rsidR="00F0419B" w:rsidRDefault="00FA36D1">
      <w:pPr>
        <w:pStyle w:val="ConsPlusNormal"/>
        <w:ind w:firstLine="540"/>
        <w:jc w:val="both"/>
      </w:pPr>
      <w:hyperlink r:id="rId26" w:history="1">
        <w:r w:rsidR="00F0419B">
          <w:rPr>
            <w:color w:val="0000FF"/>
          </w:rPr>
          <w:t>Правила</w:t>
        </w:r>
      </w:hyperlink>
      <w:r w:rsidR="00F0419B">
        <w:t xml:space="preserve"> заполнения диагностической карты устанавливаются Министерством транспорта Российской Федерации.</w:t>
      </w:r>
    </w:p>
    <w:p w:rsidR="00F0419B" w:rsidRDefault="00F0419B">
      <w:pPr>
        <w:pStyle w:val="ConsPlusNormal"/>
        <w:ind w:firstLine="540"/>
        <w:jc w:val="both"/>
      </w:pPr>
      <w:r>
        <w:t xml:space="preserve">16. </w:t>
      </w:r>
      <w:proofErr w:type="gramStart"/>
      <w:r>
        <w:t xml:space="preserve">Транспортное средство, в отношении которого выдана диагностическая карта, содержащая заключение о невозможности его эксплуатации, подлежит повторному техническому осмотру, проводимому в порядке, предусмотренном настоящими Правилами, с учетом особенностей, установленных </w:t>
      </w:r>
      <w:hyperlink r:id="rId27" w:history="1">
        <w:r>
          <w:rPr>
            <w:color w:val="0000FF"/>
          </w:rPr>
          <w:t>статьей 18</w:t>
        </w:r>
      </w:hyperlink>
      <w:r>
        <w:t xml:space="preserve"> Федерального закона "О техническом осмотре транспортных средств и о внесении изменений в отдельные законодательные акты Российской Федерации".</w:t>
      </w:r>
      <w:proofErr w:type="gramEnd"/>
    </w:p>
    <w:p w:rsidR="00F0419B" w:rsidRDefault="00F0419B">
      <w:pPr>
        <w:pStyle w:val="ConsPlusNormal"/>
        <w:jc w:val="both"/>
      </w:pPr>
      <w:r>
        <w:t xml:space="preserve">(п. 16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РФ от 29.11.2012 N 1236)</w:t>
      </w:r>
    </w:p>
    <w:p w:rsidR="00F0419B" w:rsidRDefault="00F0419B">
      <w:pPr>
        <w:sectPr w:rsidR="00F0419B" w:rsidSect="00566E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jc w:val="right"/>
      </w:pPr>
      <w:r>
        <w:t>Приложение N 1</w:t>
      </w:r>
    </w:p>
    <w:p w:rsidR="00F0419B" w:rsidRDefault="00F0419B">
      <w:pPr>
        <w:pStyle w:val="ConsPlusNormal"/>
        <w:jc w:val="right"/>
      </w:pPr>
      <w:r>
        <w:t>к Правилам проведения</w:t>
      </w:r>
    </w:p>
    <w:p w:rsidR="00F0419B" w:rsidRDefault="00F0419B">
      <w:pPr>
        <w:pStyle w:val="ConsPlusNormal"/>
        <w:jc w:val="right"/>
      </w:pPr>
      <w:r>
        <w:t xml:space="preserve">технического осмотра </w:t>
      </w:r>
      <w:proofErr w:type="gramStart"/>
      <w:r>
        <w:t>транспортных</w:t>
      </w:r>
      <w:proofErr w:type="gramEnd"/>
    </w:p>
    <w:p w:rsidR="00F0419B" w:rsidRDefault="00F0419B">
      <w:pPr>
        <w:pStyle w:val="ConsPlusNormal"/>
        <w:jc w:val="right"/>
      </w:pPr>
      <w:r>
        <w:t>средств городского наземного</w:t>
      </w:r>
    </w:p>
    <w:p w:rsidR="00F0419B" w:rsidRDefault="00F0419B">
      <w:pPr>
        <w:pStyle w:val="ConsPlusNormal"/>
        <w:jc w:val="right"/>
      </w:pPr>
      <w:r>
        <w:t>электрического транспорта</w:t>
      </w: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jc w:val="center"/>
      </w:pPr>
      <w:bookmarkStart w:id="4" w:name="P78"/>
      <w:bookmarkEnd w:id="4"/>
      <w:r>
        <w:t>ТРЕБОВАНИЯ И ПАРАМЕТРЫ,</w:t>
      </w:r>
    </w:p>
    <w:p w:rsidR="00F0419B" w:rsidRDefault="00F0419B">
      <w:pPr>
        <w:pStyle w:val="ConsPlusNormal"/>
        <w:jc w:val="center"/>
      </w:pPr>
      <w:proofErr w:type="gramStart"/>
      <w:r>
        <w:t>ПРЕДЪЯВЛЯЕМЫЕ</w:t>
      </w:r>
      <w:proofErr w:type="gramEnd"/>
      <w:r>
        <w:t xml:space="preserve"> К ТРОЛЛЕЙБУСАМ ПРИ ТЕХНИЧЕСКОМ ОСМОТРЕ</w:t>
      </w:r>
    </w:p>
    <w:p w:rsidR="00F0419B" w:rsidRDefault="00F0419B">
      <w:pPr>
        <w:pStyle w:val="ConsPlusNormal"/>
        <w:jc w:val="center"/>
      </w:pPr>
      <w:r>
        <w:t>Список изменяющих документов</w:t>
      </w:r>
    </w:p>
    <w:p w:rsidR="00F0419B" w:rsidRDefault="00F0419B">
      <w:pPr>
        <w:pStyle w:val="ConsPlusNormal"/>
        <w:jc w:val="center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РФ от 03.11.2015 N 1195)</w:t>
      </w:r>
    </w:p>
    <w:p w:rsidR="00F0419B" w:rsidRDefault="00F0419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0"/>
        <w:gridCol w:w="9089"/>
      </w:tblGrid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I. Требования к тормозным системам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Показатели эффективности тормозной системы и устойчивости троллейбуса должны соответствовать </w:t>
            </w:r>
            <w:hyperlink r:id="rId30" w:history="1">
              <w:r>
                <w:rPr>
                  <w:color w:val="0000FF"/>
                </w:rPr>
                <w:t>пунктам 1.2</w:t>
              </w:r>
            </w:hyperlink>
            <w:r>
              <w:t xml:space="preserve"> - </w:t>
            </w:r>
            <w:hyperlink r:id="rId31" w:history="1">
              <w:r>
                <w:rPr>
                  <w:color w:val="0000FF"/>
                </w:rPr>
                <w:t>1.5 приложения N 8</w:t>
              </w:r>
            </w:hyperlink>
            <w:r>
              <w:t xml:space="preserve"> технического регламента Таможенного союза "О безопасности колесных транспортных средств" </w:t>
            </w:r>
            <w:proofErr w:type="gramStart"/>
            <w:r>
              <w:t>ТР</w:t>
            </w:r>
            <w:proofErr w:type="gramEnd"/>
            <w:r>
              <w:t xml:space="preserve"> ТС 018/2011, утвержденного решением Комиссии Таможенного союза от 9 декабря 2011 г. N 877 (далее - ТР ТС 018/2011).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Стояночная тормозная система троллейбуса должна соответствовать </w:t>
            </w:r>
            <w:hyperlink r:id="rId32" w:history="1">
              <w:r>
                <w:rPr>
                  <w:color w:val="0000FF"/>
                </w:rPr>
                <w:t>пунктам 1.8.2 -</w:t>
              </w:r>
            </w:hyperlink>
            <w:r>
              <w:t xml:space="preserve"> </w:t>
            </w:r>
            <w:hyperlink r:id="rId33" w:history="1">
              <w:r>
                <w:rPr>
                  <w:color w:val="0000FF"/>
                </w:rPr>
                <w:t>1.9.2</w:t>
              </w:r>
            </w:hyperlink>
            <w:r>
              <w:t xml:space="preserve"> приложения N 8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Тормозная система с пневматическим тормозным приводом (при наличии) в режиме аварийного торможения должна быть работоспособна.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Не допускаются неисправности пневматического (пневмогидравлического) привода тормозной системы троллейбуса, перечисленные в </w:t>
            </w:r>
            <w:hyperlink r:id="rId34" w:history="1">
              <w:r>
                <w:rPr>
                  <w:color w:val="0000FF"/>
                </w:rPr>
                <w:t>пунктах 1.11</w:t>
              </w:r>
            </w:hyperlink>
            <w:r>
              <w:t xml:space="preserve"> - </w:t>
            </w:r>
            <w:hyperlink r:id="rId35" w:history="1">
              <w:r>
                <w:rPr>
                  <w:color w:val="0000FF"/>
                </w:rPr>
                <w:t>1.13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II. Требования к рулевому управлению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lastRenderedPageBreak/>
              <w:t>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Действие рулевого управления троллейбуса должно соответствовать </w:t>
            </w:r>
            <w:hyperlink r:id="rId36" w:history="1">
              <w:r>
                <w:rPr>
                  <w:color w:val="0000FF"/>
                </w:rPr>
                <w:t>пунктам 2.1</w:t>
              </w:r>
            </w:hyperlink>
            <w:r>
              <w:t xml:space="preserve"> - </w:t>
            </w:r>
            <w:hyperlink r:id="rId37" w:history="1">
              <w:r>
                <w:rPr>
                  <w:color w:val="0000FF"/>
                </w:rPr>
                <w:t>2.6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III. Требования к внешним световым приборам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6.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На троллейбусах применение внешних световых приборов определяется требованиями </w:t>
            </w:r>
            <w:hyperlink r:id="rId38" w:history="1">
              <w:r>
                <w:rPr>
                  <w:color w:val="0000FF"/>
                </w:rPr>
                <w:t>пункта 3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 Изменение мест расположения и демонтаж предусмотренных эксплуатационной документацией транспортного средства фар и сигнальных фонарей не допускаются.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7.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На троллейбусах не допускаются неисправности световых приборов, перечисленные в </w:t>
            </w:r>
            <w:hyperlink r:id="rId39" w:history="1">
              <w:r>
                <w:rPr>
                  <w:color w:val="0000FF"/>
                </w:rPr>
                <w:t>пунктах 3.6</w:t>
              </w:r>
            </w:hyperlink>
            <w:r>
              <w:t xml:space="preserve"> - </w:t>
            </w:r>
            <w:hyperlink r:id="rId40" w:history="1">
              <w:r>
                <w:rPr>
                  <w:color w:val="0000FF"/>
                </w:rPr>
                <w:t>3.7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8.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Действие сигналов торможения для троллейбусов должно соответствовать </w:t>
            </w:r>
            <w:hyperlink r:id="rId41" w:history="1">
              <w:r>
                <w:rPr>
                  <w:color w:val="0000FF"/>
                </w:rPr>
                <w:t>пункту 3.11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9.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На троллейбусах, снятых с производства, допускается замена внешних световых приборов в соответствии с </w:t>
            </w:r>
            <w:hyperlink r:id="rId42" w:history="1">
              <w:r>
                <w:rPr>
                  <w:color w:val="0000FF"/>
                </w:rPr>
                <w:t>пунктом 3.2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IV. Требования к стеклоочистителям и стеклоомывателям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10.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Параметры стеклоочистителей и стеклоомывателей троллейбуса должны соответствовать требованиям </w:t>
            </w:r>
            <w:hyperlink r:id="rId43" w:history="1">
              <w:r>
                <w:rPr>
                  <w:color w:val="0000FF"/>
                </w:rPr>
                <w:t>пунктов 4.8</w:t>
              </w:r>
            </w:hyperlink>
            <w:r>
              <w:t xml:space="preserve"> - </w:t>
            </w:r>
            <w:hyperlink r:id="rId44" w:history="1">
              <w:r>
                <w:rPr>
                  <w:color w:val="0000FF"/>
                </w:rPr>
                <w:t>4.9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V. Требования к шинам и колесам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Остаточная глубина рисунка протектора шин (при отсутствии индикаторов износа) должна соответствовать </w:t>
            </w:r>
            <w:hyperlink r:id="rId45" w:history="1">
              <w:r>
                <w:rPr>
                  <w:color w:val="0000FF"/>
                </w:rPr>
                <w:t>пункту 5.6.2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Непригодность шины к эксплуатации определяется критериями, установленными в </w:t>
            </w:r>
            <w:hyperlink r:id="rId46" w:history="1">
              <w:r>
                <w:rPr>
                  <w:color w:val="0000FF"/>
                </w:rPr>
                <w:t>пункте 5.6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Не допускаются неисправности колес и шин троллейбуса, перечисленные в </w:t>
            </w:r>
            <w:hyperlink r:id="rId47" w:history="1">
              <w:r>
                <w:rPr>
                  <w:color w:val="0000FF"/>
                </w:rPr>
                <w:t>пункте 5.7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VI. Требования к прочим элементам конструкции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lastRenderedPageBreak/>
              <w:t>14.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Троллейбус должен быть укомплектован зеркалами заднего вида в соответствии с </w:t>
            </w:r>
            <w:hyperlink r:id="rId48" w:history="1">
              <w:r>
                <w:rPr>
                  <w:color w:val="0000FF"/>
                </w:rPr>
                <w:t>пунктом 4.11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В троллейбусах не допускается наличие ограничивающих обзорность с места водителя предметов или покрытий, кроме предусмотренных в </w:t>
            </w:r>
            <w:hyperlink r:id="rId49" w:history="1">
              <w:r>
                <w:rPr>
                  <w:color w:val="0000FF"/>
                </w:rPr>
                <w:t>пункте 4.2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16.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Светопропускание ветрового стекла, передних боковых стекол троллейбуса должно соответствовать требованиям </w:t>
            </w:r>
            <w:hyperlink r:id="rId50" w:history="1">
              <w:r>
                <w:rPr>
                  <w:color w:val="0000FF"/>
                </w:rPr>
                <w:t>пункта 4.3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17.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В троллейбусах не допускается наличие на ветровых стеклах трещин, предусмотренных </w:t>
            </w:r>
            <w:hyperlink r:id="rId51" w:history="1">
              <w:r>
                <w:rPr>
                  <w:color w:val="0000FF"/>
                </w:rPr>
                <w:t>пунктом 4.7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18.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В троллейбусах замки дверей кузова или кабины, механизмы регулировки и фиксирующие устройства сидений водителя и пассажиров, устройство обогрева и обдува ветрового стекла, предусмотренное изготовителем троллейбуса противоугонное устройство должны соответствовать </w:t>
            </w:r>
            <w:hyperlink r:id="rId52" w:history="1">
              <w:r>
                <w:rPr>
                  <w:color w:val="0000FF"/>
                </w:rPr>
                <w:t>пункту 10.2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19.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Привод дверей троллейбуса, а также сигнализация их работы и сигнал требования остановки должны соответствовать </w:t>
            </w:r>
            <w:hyperlink r:id="rId53" w:history="1">
              <w:r>
                <w:rPr>
                  <w:color w:val="0000FF"/>
                </w:rPr>
                <w:t>пункту 13.1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20.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Аварийные выходы должны быть обозначены и иметь таблички по правилам их использования. Аварийные выходы и устройства приведения их в действие, приборы освещения выходов из салона должны быть работоспособны.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Комплектация троллейбусов звуковым сигнальным прибором должна соответствовать </w:t>
            </w:r>
            <w:hyperlink r:id="rId54" w:history="1">
              <w:r>
                <w:rPr>
                  <w:color w:val="0000FF"/>
                </w:rPr>
                <w:t>пункту 10.4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Узлы сочленения (штатное и дополнительное) для аварийной буксировки, тягово-сцепные устройства должны быть в исправном состоянии.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Комплектация троллейбусов знаком аварийной остановки должна соответствовать </w:t>
            </w:r>
            <w:hyperlink r:id="rId55" w:history="1">
              <w:r>
                <w:rPr>
                  <w:color w:val="0000FF"/>
                </w:rPr>
                <w:t>пункту 11.1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Комплектация троллейбусов противооткатными упорами должна соответствовать </w:t>
            </w:r>
            <w:hyperlink r:id="rId56" w:history="1">
              <w:r>
                <w:rPr>
                  <w:color w:val="0000FF"/>
                </w:rPr>
                <w:t>пункту 11.3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lastRenderedPageBreak/>
              <w:t>25.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Комплектация троллейбусов огнетушителями и требования к огнетушителям должны соответствовать </w:t>
            </w:r>
            <w:hyperlink r:id="rId57" w:history="1">
              <w:r>
                <w:rPr>
                  <w:color w:val="0000FF"/>
                </w:rPr>
                <w:t>пункту 11.4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26.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Поручни, аккумуляторные батареи, сиденья, а также огнетушители и медицинская аптечка на троллейбусах, оборудованных приспособлениями для их крепления, должны соответствовать </w:t>
            </w:r>
            <w:hyperlink r:id="rId58" w:history="1">
              <w:r>
                <w:rPr>
                  <w:color w:val="0000FF"/>
                </w:rPr>
                <w:t>пункту 11.5 приложения N 8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27.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Каплепадение масел и рабочих жидкостей из редукторов, заднего моста, аккумуляторной батареи дополнительно устанавливаемых на транспортных средствах гидравлических устройств не допускается.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28.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Недопустимо заедание в шарнирах токоприемников. Токоприемник в опущенном состоянии должен фиксироваться.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29.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Контрольно-измерительные приборы должны быть в исправном состоянии.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30.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Ток утечки не должен превышать 3 мА.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Не должно быть повреждений изоляционного покрытия поручней и подножек входа и выхода.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Износ покрытия пола не должен превышать 50 процентов толщины материала покрытия, не должно быть протечек воды через пол на электрооборудование.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На крыше должна быть дорожка из электроизоляционного материала, разрывы и другие повреждения дорожки не допускаются.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по обеспечению подачи песка на головки рельсов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к шунту заземления кожухов печей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36.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к высоте реборды бандажа колеса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37.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к расстоянию между внутренними гранями бандажей колесной пары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38.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к толщине бандажа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lastRenderedPageBreak/>
              <w:t>39.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по отсутствию выбоин на поверхности катания бандажа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40.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по отсутствию трещин на бандаже или колесном центре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к трещинам на резинометаллических амортизаторах колес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Требования по надежности затяжки и фиксации </w:t>
            </w:r>
            <w:proofErr w:type="gramStart"/>
            <w:r>
              <w:t>гаек крепления продольных балок тележки</w:t>
            </w:r>
            <w:proofErr w:type="gramEnd"/>
            <w:r>
              <w:t xml:space="preserve">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Требования по надежности затяжки и фиксации центральной гайки </w:t>
            </w:r>
            <w:proofErr w:type="spellStart"/>
            <w:r>
              <w:t>подрезиненного</w:t>
            </w:r>
            <w:proofErr w:type="spellEnd"/>
            <w:r>
              <w:t xml:space="preserve"> колеса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по отсутствию перемещения ступицы, поворота бандажа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На транспортных средствах, оснащенных устройствами или системами вызова экстренных оперативных служб, такие устройства или системы должны быть работоспособны и соответствовать </w:t>
            </w:r>
            <w:hyperlink r:id="rId59" w:history="1">
              <w:r>
                <w:rPr>
                  <w:color w:val="0000FF"/>
                </w:rPr>
                <w:t>пункту 118 приложения N 10</w:t>
              </w:r>
            </w:hyperlink>
            <w:r>
              <w:t xml:space="preserve">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</w:tbl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jc w:val="right"/>
      </w:pPr>
      <w:r>
        <w:t>Приложение N 1(1)</w:t>
      </w:r>
    </w:p>
    <w:p w:rsidR="00F0419B" w:rsidRDefault="00F0419B">
      <w:pPr>
        <w:pStyle w:val="ConsPlusNormal"/>
        <w:jc w:val="right"/>
      </w:pPr>
      <w:r>
        <w:t>к Правилам проведения</w:t>
      </w:r>
    </w:p>
    <w:p w:rsidR="00F0419B" w:rsidRDefault="00F0419B">
      <w:pPr>
        <w:pStyle w:val="ConsPlusNormal"/>
        <w:jc w:val="right"/>
      </w:pPr>
      <w:r>
        <w:t xml:space="preserve">технического осмотра </w:t>
      </w:r>
      <w:proofErr w:type="gramStart"/>
      <w:r>
        <w:t>транспортных</w:t>
      </w:r>
      <w:proofErr w:type="gramEnd"/>
    </w:p>
    <w:p w:rsidR="00F0419B" w:rsidRDefault="00F0419B">
      <w:pPr>
        <w:pStyle w:val="ConsPlusNormal"/>
        <w:jc w:val="right"/>
      </w:pPr>
      <w:r>
        <w:t>средств городского наземного</w:t>
      </w:r>
    </w:p>
    <w:p w:rsidR="00F0419B" w:rsidRDefault="00F0419B">
      <w:pPr>
        <w:pStyle w:val="ConsPlusNormal"/>
        <w:jc w:val="right"/>
      </w:pPr>
      <w:r>
        <w:t>электрического транспорта</w:t>
      </w:r>
    </w:p>
    <w:p w:rsidR="00F0419B" w:rsidRDefault="00F0419B">
      <w:pPr>
        <w:pStyle w:val="ConsPlusNormal"/>
        <w:jc w:val="both"/>
      </w:pPr>
    </w:p>
    <w:p w:rsidR="00F0419B" w:rsidRDefault="00F0419B">
      <w:pPr>
        <w:pStyle w:val="ConsPlusNormal"/>
        <w:jc w:val="center"/>
      </w:pPr>
      <w:bookmarkStart w:id="5" w:name="P196"/>
      <w:bookmarkEnd w:id="5"/>
      <w:r>
        <w:t>ТРЕБОВАНИЯ И ПАРАМЕТРЫ,</w:t>
      </w:r>
    </w:p>
    <w:p w:rsidR="00F0419B" w:rsidRDefault="00F0419B">
      <w:pPr>
        <w:pStyle w:val="ConsPlusNormal"/>
        <w:jc w:val="center"/>
      </w:pPr>
      <w:proofErr w:type="gramStart"/>
      <w:r>
        <w:t>ПРЕДЪЯВЛЯЕМЫЕ</w:t>
      </w:r>
      <w:proofErr w:type="gramEnd"/>
      <w:r>
        <w:t xml:space="preserve"> К ТРАМВАЙНЫМ ВАГОНАМ ПРИ ТЕХНИЧЕСКОМ ОСМОТРЕ</w:t>
      </w:r>
    </w:p>
    <w:p w:rsidR="00F0419B" w:rsidRDefault="00F0419B">
      <w:pPr>
        <w:pStyle w:val="ConsPlusNormal"/>
        <w:jc w:val="center"/>
      </w:pPr>
      <w:r>
        <w:t>Список изменяющих документов</w:t>
      </w:r>
    </w:p>
    <w:p w:rsidR="00F0419B" w:rsidRDefault="00F0419B">
      <w:pPr>
        <w:pStyle w:val="ConsPlusNormal"/>
        <w:jc w:val="center"/>
      </w:pPr>
      <w:r>
        <w:t xml:space="preserve">(введены </w:t>
      </w:r>
      <w:hyperlink r:id="rId60" w:history="1">
        <w:r>
          <w:rPr>
            <w:color w:val="0000FF"/>
          </w:rPr>
          <w:t>Постановлением</w:t>
        </w:r>
      </w:hyperlink>
      <w:r>
        <w:t xml:space="preserve"> Правительства РФ от 03.11.2015 N 1195)</w:t>
      </w:r>
    </w:p>
    <w:p w:rsidR="00F0419B" w:rsidRDefault="00F0419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0"/>
        <w:gridCol w:w="9089"/>
      </w:tblGrid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I. Требования к тормозным системам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lastRenderedPageBreak/>
              <w:t>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Тормозной путь трамвайного вагона в снаряженном состоянии (без нагрузки) на горизонтальном участке трамвайного пути с сухими и чистыми рельсами на скорости начала торможения 40 км/ч при однократном воздействии на орган управления тормозной системой должен быть:</w:t>
            </w:r>
          </w:p>
          <w:p w:rsidR="00F0419B" w:rsidRDefault="00F0419B">
            <w:pPr>
              <w:pStyle w:val="ConsPlusNormal"/>
            </w:pPr>
            <w:r>
              <w:t>при экстренном торможении не более 21 м;</w:t>
            </w:r>
          </w:p>
          <w:p w:rsidR="00F0419B" w:rsidRDefault="00F0419B">
            <w:pPr>
              <w:pStyle w:val="ConsPlusNormal"/>
            </w:pPr>
            <w:r>
              <w:t>при служебном торможении не более 45 м.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both"/>
            </w:pPr>
            <w:r>
              <w:t>Стояночная тормозная система должна обеспечивать неподвижное состояние трамвайных вагонов с разрешенной максимальной массой на уклоне 9 процентов.</w:t>
            </w:r>
          </w:p>
          <w:p w:rsidR="00F0419B" w:rsidRDefault="00F0419B">
            <w:pPr>
              <w:pStyle w:val="ConsPlusNormal"/>
            </w:pPr>
            <w:r>
              <w:t xml:space="preserve">Допускается проверка стояночной тормозной системы трамвайных вагонов косвенными методами (по величине силового тока заторможенного вагона или протаскиванием заторможенного вагона с определенным усилием), </w:t>
            </w:r>
            <w:proofErr w:type="gramStart"/>
            <w:r>
              <w:t>результаты</w:t>
            </w:r>
            <w:proofErr w:type="gramEnd"/>
            <w:r>
              <w:t xml:space="preserve"> которых сопоставимы с результатами натуральных испытаний.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Тормозная система с пневматическим тормозным приводом (при наличии) в режиме аварийного торможения должна быть работоспособна.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Для трамвайных вагонов недопустимо нарушение герметичности пневматического (пневмогидравлического) тормозного привода, падение давления воздуха при неработающем компрессоре не должно быть более чем на 0,05 МПа (0,5 кгс/см</w:t>
            </w:r>
            <w:proofErr w:type="gramStart"/>
            <w:r>
              <w:t>2</w:t>
            </w:r>
            <w:proofErr w:type="gramEnd"/>
            <w:r>
              <w:t>) за 15 минут после приведения в действие органа управления рабочим тормозом. Утечки сжатого воздуха из колесных тормозных камер не допускаются.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II. Требования к рулевому управлению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к действию рулевого управления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III. Требования к внешним световым приборам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6.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Внешние световые приборы, устанавливаемые на трамвайных вагонах (трамвайных поездах), должны соответствовать требованиям </w:t>
            </w:r>
            <w:hyperlink r:id="rId61" w:history="1">
              <w:r>
                <w:rPr>
                  <w:color w:val="0000FF"/>
                </w:rPr>
                <w:t>ГОСТ 8802-78</w:t>
              </w:r>
            </w:hyperlink>
            <w:r>
              <w:t>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7.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На трамвайных вагонах (трамвайных поездах) не допускаются разрушения и отсутствие световых приборов.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8.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Сигналы торможения (основные дополнительные) трамвайных вагонов (трамвайных поездов) </w:t>
            </w:r>
            <w:r>
              <w:lastRenderedPageBreak/>
              <w:t>должны включаться при воздействии на органы управления рабочей и аварийной тормозных систем и работать в постоянном режиме.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lastRenderedPageBreak/>
              <w:t>9.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both"/>
            </w:pPr>
            <w:r>
              <w:t>На трамвайных вагонах изменение мест расположения и демонтаж фар и сигнальных фонарей не допускается. На трамвайных вагонах, снятых с производства, допускается установка внешних световых приборов от трамвайных вагонов других марок и моделей.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IV. Требования к стеклоочистителям и стеклоомывателям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10.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Система стеклоочистителей и стеклоомывателей трамвайных вагонов (трамвайных поездов) должна быть оснащена хотя бы одним стеклоочистителем и хотя бы одной форсункой стеклоомывателя ветрового стекла.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V. Требования к шинам и колесам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к глубине рисунка протектора шин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по пригодности шин к эксплуатации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по отсутствию неисправностей колес и шин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VI. Требования к прочим элементам конструкции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Трамвайный вагон должен быть укомплектован обеспечивающими поля обзора зеркалами заднего вида согласно </w:t>
            </w:r>
            <w:hyperlink r:id="rId62" w:history="1">
              <w:r>
                <w:rPr>
                  <w:color w:val="0000FF"/>
                </w:rPr>
                <w:t>ГОСТ 8802-78</w:t>
              </w:r>
            </w:hyperlink>
            <w:r>
              <w:t>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В трамвайных вагонах не допускается наличие предметов или покрытий, ограничивающих обзорность с места водителя, за исключением зеркал заднего вида, деталей стеклоочистителей, наружных и нанесенных или встроенных в стекла радиоантенн, нагревательных элементов устройств размораживания и осушения ветрового стекла. В верхней части ветрового стекла допускается крепление полосы прозрачной цветной пленки шириной, не превышающей минимального расстояния между верхним краем ветрового стекла и верхней границей зоны его очистки стеклоочистителем.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16.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В трамвайных вагонах светопропускание ветрового стекла передних боковых стекол и стекол передних дверей (при наличии) должно составлять не менее 70 процентов.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lastRenderedPageBreak/>
              <w:t>17.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Не допускается наличие трещин на ветровых стеклах трамвайных вагонов (трамвайных поездов) в зоне очистки стеклоочистителем половины стекла, расположенной со стороны водителя.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18.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proofErr w:type="gramStart"/>
            <w:r>
              <w:t>В трамвайных вагонах замки дверей кузова или кабины, механизмы регулировки и фиксирующие устройства сидений водителя и пассажиров, устройство обогрева и обдува ветрового стекла, предусмотренное изготовителем трамвайных вагонов противоугонное устройство должны быть работоспособны.</w:t>
            </w:r>
            <w:proofErr w:type="gramEnd"/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19.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Привод дверей трамвайных вагонов должен быть в работоспособном состоянии, не должна быть нарушена целостность дверей.</w:t>
            </w:r>
          </w:p>
          <w:p w:rsidR="00F0419B" w:rsidRDefault="00F0419B">
            <w:pPr>
              <w:pStyle w:val="ConsPlusNormal"/>
            </w:pPr>
            <w:r>
              <w:t>Сигнализация их работы и сигнал требования остановки должны быть работоспособны.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20.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Аварийные выходы должны быть обозначены и иметь таблички по правилам их использования. Аварийные выходы и устройства приведения их в действие, приборы освещения выходов из салона должны быть работоспособны.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Трамвайные вагоны должны быть укомплектованы звуковым сигнальным прибором в рабочем состоянии.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Узлы сочленения (штатное и дополнительное) для аварийной буксировки, тягово-сцепные устройства должны быть в исправном состоянии.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Трамвайные вагоны должны быть укомплектованы знаком аварийной остановки.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Трамвайные вагоны должны быть укомплектованы не менее чем 2 противооткатными упорами.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Трамвайные вагоны должны быть оснащены огнетушителями (порошковыми или углекислотными) емкостью не менее 5 литров, один из которых должен размещаться в кабине водителя.</w:t>
            </w:r>
          </w:p>
          <w:p w:rsidR="00F0419B" w:rsidRDefault="00F0419B">
            <w:pPr>
              <w:pStyle w:val="ConsPlusNormal"/>
            </w:pPr>
            <w:r>
              <w:t>Огнетушители должны быть опломбированы, и на них должен быть указан срок окончания использования, который на момент проверки не должен быть завершен.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26.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Поручни, аккумуляторные батареи, сиденья, а также огнетушители и медицинская аптечка на трамвайных вагонах (трамвайных поездах), оборудованных приспособлениями для их </w:t>
            </w:r>
            <w:r>
              <w:lastRenderedPageBreak/>
              <w:t>крепления, должны быть надежно закреплены в местах, предусмотренных конструкцией трамвайного вагона (трамвайного поезда).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lastRenderedPageBreak/>
              <w:t>27.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Каплепадение масел и рабочих жидкостей из редукторов, заднего моста, аккумуляторной батареи дополнительно устанавливаемых на транспортных средствах гидравлических устройств не допускается.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28.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Недопустимо заедание в шарнирах токоприемников. Токоприемник в опущенном состоянии должен фиксироваться.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29.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Контрольно-измерительные приборы должны быть в исправном состоянии.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30.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к току утечки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Не должно быть повреждений изоляционного покрытия поручней и подножек входа и выхода.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Износ покрытия пола не должен превышать 50 процентов толщины материала покрытия, не должно быть протечек воды через пол на электрооборудование.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На крыше должна быть дорожка из электроизоляционного материала, разрывы и другие повреждения дорожки не допускаются.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Должна обеспечиваться подача песка на головки рельсов при включении песочниц и при экстренном торможении.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 xml:space="preserve">Недопустимо отсутствие или обрывы проводников на площади более 25 процентов </w:t>
            </w:r>
            <w:proofErr w:type="gramStart"/>
            <w:r>
              <w:t>сечения шунта заземления кожухов электрических печей отопления</w:t>
            </w:r>
            <w:proofErr w:type="gramEnd"/>
            <w:r>
              <w:t>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36.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Высота реборды бандажа колеса должна быть не менее 11 мм, а ее толщина должна быть не менее 8 мм.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37.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Расстояние между внутренними гранями бандажей колесной пары должно быть:</w:t>
            </w:r>
          </w:p>
          <w:p w:rsidR="00F0419B" w:rsidRDefault="00F0419B">
            <w:pPr>
              <w:pStyle w:val="ConsPlusNormal"/>
            </w:pPr>
            <w:r>
              <w:t>для колеи 1524 мм - не менее (1474 +/- 2) мм;</w:t>
            </w:r>
          </w:p>
          <w:p w:rsidR="00F0419B" w:rsidRDefault="00F0419B">
            <w:pPr>
              <w:pStyle w:val="ConsPlusNormal"/>
            </w:pPr>
            <w:r>
              <w:t>для колеи 1000 мм - не менее (950 +/- 1) мм.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lastRenderedPageBreak/>
              <w:t>38.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При конструктивной ширине бандажа 85 мм толщина бандажа должна быть не менее 25 мм, при конструктивной ширине бандажа 90 мм толщина бандажа должна быть не менее 23 мм.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39.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Должны отсутствовать выбоины (</w:t>
            </w:r>
            <w:proofErr w:type="spellStart"/>
            <w:r>
              <w:t>лыски</w:t>
            </w:r>
            <w:proofErr w:type="spellEnd"/>
            <w:r>
              <w:t>) на поверхности катания бандажа глубиной более 0,6 мм при рельсовых путях с деревянными шпалами и глубиной более 0,3 мм при рельсовых путях на бетонном основании или на железобетонных шпалах.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40.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Должны отсутствовать продольные или поперечные трещины на бандаже или колесном центре.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41.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На резинометаллических амортизаторах колеса допускается не более 5 трещин глубиной не более 2 мм на площади 1 см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42.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Должны быть затянуты и зафиксированы гайки крепления продольных балок тележки.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43.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  <w:jc w:val="both"/>
            </w:pPr>
            <w:r>
              <w:t xml:space="preserve">Должны быть затянуты и зафиксированы приваренными планками центральная гайка </w:t>
            </w:r>
            <w:proofErr w:type="spellStart"/>
            <w:r>
              <w:t>подрезиненного</w:t>
            </w:r>
            <w:proofErr w:type="spellEnd"/>
            <w:r>
              <w:t xml:space="preserve"> колеса (если это предусмотрено конструкцией).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44.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Недопустимо перемещение ступицы относительно колесной пары, недопустим поворот бандажа колеса относительно центра.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45.</w:t>
            </w: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  <w:r>
              <w:t>Требования по работоспособности устройства или системы вызова экстренных оперативных служб не применяются.</w:t>
            </w:r>
          </w:p>
        </w:tc>
      </w:tr>
      <w:tr w:rsidR="00F0419B"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9089" w:type="dxa"/>
            <w:tcBorders>
              <w:top w:val="nil"/>
              <w:left w:val="nil"/>
              <w:bottom w:val="nil"/>
              <w:right w:val="nil"/>
            </w:tcBorders>
          </w:tcPr>
          <w:p w:rsidR="00F0419B" w:rsidRDefault="00F0419B">
            <w:pPr>
              <w:pStyle w:val="ConsPlusNormal"/>
            </w:pPr>
          </w:p>
        </w:tc>
      </w:tr>
    </w:tbl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rmal"/>
        <w:jc w:val="right"/>
      </w:pPr>
      <w:r>
        <w:t>Приложение N 2</w:t>
      </w:r>
    </w:p>
    <w:p w:rsidR="00F0419B" w:rsidRDefault="00F0419B">
      <w:pPr>
        <w:pStyle w:val="ConsPlusNormal"/>
        <w:jc w:val="right"/>
      </w:pPr>
      <w:r>
        <w:t>к Правилам проведения</w:t>
      </w:r>
    </w:p>
    <w:p w:rsidR="00F0419B" w:rsidRDefault="00F0419B">
      <w:pPr>
        <w:pStyle w:val="ConsPlusNormal"/>
        <w:jc w:val="right"/>
      </w:pPr>
      <w:r>
        <w:t xml:space="preserve">технического осмотра </w:t>
      </w:r>
      <w:proofErr w:type="gramStart"/>
      <w:r>
        <w:t>транспортных</w:t>
      </w:r>
      <w:proofErr w:type="gramEnd"/>
    </w:p>
    <w:p w:rsidR="00F0419B" w:rsidRDefault="00F0419B">
      <w:pPr>
        <w:pStyle w:val="ConsPlusNormal"/>
        <w:jc w:val="right"/>
      </w:pPr>
      <w:r>
        <w:t>средств городского наземного</w:t>
      </w:r>
    </w:p>
    <w:p w:rsidR="00F0419B" w:rsidRDefault="00F0419B">
      <w:pPr>
        <w:pStyle w:val="ConsPlusNormal"/>
        <w:jc w:val="right"/>
      </w:pPr>
      <w:r>
        <w:t>электрического транспорта</w:t>
      </w:r>
    </w:p>
    <w:p w:rsidR="00F0419B" w:rsidRDefault="00F0419B">
      <w:pPr>
        <w:pStyle w:val="ConsPlusNormal"/>
        <w:jc w:val="center"/>
      </w:pPr>
      <w:r>
        <w:lastRenderedPageBreak/>
        <w:t>Список изменяющих документов</w:t>
      </w:r>
    </w:p>
    <w:p w:rsidR="00F0419B" w:rsidRDefault="00F0419B">
      <w:pPr>
        <w:pStyle w:val="ConsPlusNormal"/>
        <w:jc w:val="center"/>
      </w:pPr>
      <w:proofErr w:type="gramStart"/>
      <w:r>
        <w:t xml:space="preserve">(в ред. Постановлений Правительства РФ от 29.11.2012 </w:t>
      </w:r>
      <w:hyperlink r:id="rId63" w:history="1">
        <w:r>
          <w:rPr>
            <w:color w:val="0000FF"/>
          </w:rPr>
          <w:t>N 1236</w:t>
        </w:r>
      </w:hyperlink>
      <w:r>
        <w:t>,</w:t>
      </w:r>
      <w:proofErr w:type="gramEnd"/>
    </w:p>
    <w:p w:rsidR="00F0419B" w:rsidRDefault="00F0419B">
      <w:pPr>
        <w:pStyle w:val="ConsPlusNormal"/>
        <w:jc w:val="center"/>
      </w:pPr>
      <w:r>
        <w:t xml:space="preserve">от 05.08.2014 </w:t>
      </w:r>
      <w:hyperlink r:id="rId64" w:history="1">
        <w:r>
          <w:rPr>
            <w:color w:val="0000FF"/>
          </w:rPr>
          <w:t>N 769</w:t>
        </w:r>
      </w:hyperlink>
      <w:r>
        <w:t xml:space="preserve">, от 06.06.2015 </w:t>
      </w:r>
      <w:hyperlink r:id="rId65" w:history="1">
        <w:r>
          <w:rPr>
            <w:color w:val="0000FF"/>
          </w:rPr>
          <w:t>N 557</w:t>
        </w:r>
      </w:hyperlink>
      <w:r>
        <w:t xml:space="preserve">, от 03.11.2015 </w:t>
      </w:r>
      <w:hyperlink r:id="rId66" w:history="1">
        <w:r>
          <w:rPr>
            <w:color w:val="0000FF"/>
          </w:rPr>
          <w:t>N 1195</w:t>
        </w:r>
      </w:hyperlink>
      <w:r>
        <w:t>)</w:t>
      </w:r>
    </w:p>
    <w:p w:rsidR="00F0419B" w:rsidRDefault="00F0419B">
      <w:pPr>
        <w:pStyle w:val="ConsPlusNormal"/>
        <w:ind w:firstLine="540"/>
        <w:jc w:val="both"/>
      </w:pPr>
    </w:p>
    <w:p w:rsidR="00F0419B" w:rsidRDefault="00F0419B">
      <w:pPr>
        <w:pStyle w:val="ConsPlusNonformat"/>
        <w:jc w:val="both"/>
      </w:pPr>
      <w:r>
        <w:t xml:space="preserve">                                                           Лицевая сторона</w:t>
      </w:r>
    </w:p>
    <w:p w:rsidR="00F0419B" w:rsidRDefault="00F0419B">
      <w:pPr>
        <w:pStyle w:val="ConsPlusNonformat"/>
        <w:jc w:val="both"/>
      </w:pPr>
    </w:p>
    <w:p w:rsidR="00F0419B" w:rsidRDefault="00F0419B">
      <w:pPr>
        <w:pStyle w:val="ConsPlusNonformat"/>
        <w:jc w:val="both"/>
      </w:pPr>
      <w:bookmarkStart w:id="6" w:name="P328"/>
      <w:bookmarkEnd w:id="6"/>
      <w:r>
        <w:t xml:space="preserve">                           Диагностическая карта</w:t>
      </w:r>
    </w:p>
    <w:p w:rsidR="00F0419B" w:rsidRDefault="00F0419B">
      <w:pPr>
        <w:pStyle w:val="ConsPlusNonformat"/>
        <w:jc w:val="both"/>
      </w:pPr>
    </w:p>
    <w:p w:rsidR="00F0419B" w:rsidRDefault="00F0419B">
      <w:pPr>
        <w:pStyle w:val="ConsPlusNonformat"/>
        <w:jc w:val="both"/>
      </w:pPr>
      <w:r>
        <w:t xml:space="preserve">               (городской наземный электрический транспорт)</w:t>
      </w:r>
    </w:p>
    <w:p w:rsidR="00F0419B" w:rsidRDefault="00F041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7"/>
        <w:gridCol w:w="253"/>
        <w:gridCol w:w="259"/>
        <w:gridCol w:w="259"/>
        <w:gridCol w:w="258"/>
        <w:gridCol w:w="259"/>
        <w:gridCol w:w="259"/>
        <w:gridCol w:w="259"/>
        <w:gridCol w:w="258"/>
        <w:gridCol w:w="259"/>
        <w:gridCol w:w="259"/>
        <w:gridCol w:w="259"/>
        <w:gridCol w:w="258"/>
        <w:gridCol w:w="259"/>
        <w:gridCol w:w="259"/>
        <w:gridCol w:w="259"/>
        <w:gridCol w:w="2354"/>
        <w:gridCol w:w="300"/>
        <w:gridCol w:w="282"/>
        <w:gridCol w:w="282"/>
        <w:gridCol w:w="282"/>
        <w:gridCol w:w="283"/>
        <w:gridCol w:w="282"/>
        <w:gridCol w:w="282"/>
        <w:gridCol w:w="282"/>
        <w:gridCol w:w="283"/>
        <w:gridCol w:w="2295"/>
      </w:tblGrid>
      <w:tr w:rsidR="00F0419B">
        <w:tc>
          <w:tcPr>
            <w:tcW w:w="6487" w:type="dxa"/>
            <w:gridSpan w:val="17"/>
            <w:tcBorders>
              <w:bottom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>Регистрационный номер</w:t>
            </w:r>
          </w:p>
        </w:tc>
        <w:tc>
          <w:tcPr>
            <w:tcW w:w="4853" w:type="dxa"/>
            <w:gridSpan w:val="10"/>
            <w:tcBorders>
              <w:bottom w:val="nil"/>
            </w:tcBorders>
          </w:tcPr>
          <w:p w:rsidR="00F0419B" w:rsidRDefault="00F0419B">
            <w:pPr>
              <w:pStyle w:val="ConsPlusNormal"/>
              <w:jc w:val="center"/>
            </w:pPr>
            <w:r>
              <w:t xml:space="preserve">Срок действия </w:t>
            </w:r>
            <w:proofErr w:type="gramStart"/>
            <w:r>
              <w:t>до</w:t>
            </w:r>
            <w:proofErr w:type="gramEnd"/>
          </w:p>
        </w:tc>
      </w:tr>
      <w:tr w:rsidR="00F0419B">
        <w:tblPrEx>
          <w:tblBorders>
            <w:insideH w:val="single" w:sz="4" w:space="0" w:color="auto"/>
          </w:tblBorders>
        </w:tblPrEx>
        <w:tc>
          <w:tcPr>
            <w:tcW w:w="257" w:type="dxa"/>
            <w:tcBorders>
              <w:top w:val="nil"/>
              <w:bottom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2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8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8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8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354" w:type="dxa"/>
            <w:tcBorders>
              <w:top w:val="nil"/>
              <w:bottom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282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82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82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8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82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82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82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8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6487" w:type="dxa"/>
            <w:gridSpan w:val="17"/>
            <w:tcBorders>
              <w:top w:val="nil"/>
            </w:tcBorders>
          </w:tcPr>
          <w:p w:rsidR="00F0419B" w:rsidRDefault="00F0419B">
            <w:pPr>
              <w:pStyle w:val="ConsPlusNormal"/>
            </w:pPr>
          </w:p>
        </w:tc>
        <w:tc>
          <w:tcPr>
            <w:tcW w:w="4853" w:type="dxa"/>
            <w:gridSpan w:val="10"/>
            <w:tcBorders>
              <w:top w:val="nil"/>
            </w:tcBorders>
          </w:tcPr>
          <w:p w:rsidR="00F0419B" w:rsidRDefault="00F0419B">
            <w:pPr>
              <w:pStyle w:val="ConsPlusNormal"/>
            </w:pPr>
          </w:p>
        </w:tc>
      </w:tr>
    </w:tbl>
    <w:p w:rsidR="00F0419B" w:rsidRDefault="00F041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38"/>
        <w:gridCol w:w="504"/>
        <w:gridCol w:w="224"/>
        <w:gridCol w:w="2590"/>
        <w:gridCol w:w="224"/>
        <w:gridCol w:w="1396"/>
        <w:gridCol w:w="1452"/>
        <w:gridCol w:w="258"/>
        <w:gridCol w:w="702"/>
        <w:gridCol w:w="1080"/>
        <w:gridCol w:w="972"/>
      </w:tblGrid>
      <w:tr w:rsidR="00F0419B">
        <w:tc>
          <w:tcPr>
            <w:tcW w:w="11340" w:type="dxa"/>
            <w:gridSpan w:val="11"/>
          </w:tcPr>
          <w:p w:rsidR="00F0419B" w:rsidRDefault="00F0419B">
            <w:pPr>
              <w:pStyle w:val="ConsPlusNormal"/>
            </w:pPr>
            <w:r>
              <w:t>Оператор технического осмотра:</w:t>
            </w:r>
          </w:p>
        </w:tc>
      </w:tr>
      <w:tr w:rsidR="00F0419B">
        <w:tc>
          <w:tcPr>
            <w:tcW w:w="11340" w:type="dxa"/>
            <w:gridSpan w:val="11"/>
          </w:tcPr>
          <w:p w:rsidR="00F0419B" w:rsidRDefault="00F0419B">
            <w:pPr>
              <w:pStyle w:val="ConsPlusNormal"/>
            </w:pPr>
            <w:r>
              <w:t>Пункт технического осмотра:</w:t>
            </w:r>
          </w:p>
        </w:tc>
      </w:tr>
      <w:tr w:rsidR="00F0419B">
        <w:tc>
          <w:tcPr>
            <w:tcW w:w="2442" w:type="dxa"/>
            <w:gridSpan w:val="2"/>
          </w:tcPr>
          <w:p w:rsidR="00F0419B" w:rsidRDefault="00F0419B">
            <w:pPr>
              <w:pStyle w:val="ConsPlusNormal"/>
            </w:pPr>
            <w:r>
              <w:t>Первичная проверка</w:t>
            </w:r>
          </w:p>
        </w:tc>
        <w:tc>
          <w:tcPr>
            <w:tcW w:w="224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590" w:type="dxa"/>
          </w:tcPr>
          <w:p w:rsidR="00F0419B" w:rsidRDefault="00F0419B">
            <w:pPr>
              <w:pStyle w:val="ConsPlusNormal"/>
              <w:ind w:left="60"/>
            </w:pPr>
            <w:r>
              <w:t>Повторная проверка</w:t>
            </w:r>
          </w:p>
        </w:tc>
        <w:tc>
          <w:tcPr>
            <w:tcW w:w="224" w:type="dxa"/>
          </w:tcPr>
          <w:p w:rsidR="00F0419B" w:rsidRDefault="00F0419B">
            <w:pPr>
              <w:pStyle w:val="ConsPlusNormal"/>
            </w:pPr>
          </w:p>
        </w:tc>
        <w:tc>
          <w:tcPr>
            <w:tcW w:w="1396" w:type="dxa"/>
          </w:tcPr>
          <w:p w:rsidR="00F0419B" w:rsidRDefault="00F0419B">
            <w:pPr>
              <w:pStyle w:val="ConsPlusNormal"/>
            </w:pPr>
          </w:p>
        </w:tc>
        <w:tc>
          <w:tcPr>
            <w:tcW w:w="1452" w:type="dxa"/>
          </w:tcPr>
          <w:p w:rsidR="00F0419B" w:rsidRDefault="00F0419B">
            <w:pPr>
              <w:pStyle w:val="ConsPlusNormal"/>
            </w:pPr>
            <w:r>
              <w:t>Год выпуска</w:t>
            </w:r>
          </w:p>
        </w:tc>
        <w:tc>
          <w:tcPr>
            <w:tcW w:w="960" w:type="dxa"/>
            <w:gridSpan w:val="2"/>
          </w:tcPr>
          <w:p w:rsidR="00F0419B" w:rsidRDefault="00F0419B">
            <w:pPr>
              <w:pStyle w:val="ConsPlusNormal"/>
            </w:pPr>
          </w:p>
        </w:tc>
        <w:tc>
          <w:tcPr>
            <w:tcW w:w="1080" w:type="dxa"/>
          </w:tcPr>
          <w:p w:rsidR="00F0419B" w:rsidRDefault="00F0419B">
            <w:pPr>
              <w:pStyle w:val="ConsPlusNormal"/>
            </w:pPr>
            <w:r>
              <w:t>Пробег</w:t>
            </w:r>
          </w:p>
        </w:tc>
        <w:tc>
          <w:tcPr>
            <w:tcW w:w="972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1938" w:type="dxa"/>
          </w:tcPr>
          <w:p w:rsidR="00F0419B" w:rsidRDefault="00F0419B">
            <w:pPr>
              <w:pStyle w:val="ConsPlusNormal"/>
            </w:pPr>
            <w:r>
              <w:t>VIN</w:t>
            </w:r>
          </w:p>
        </w:tc>
        <w:tc>
          <w:tcPr>
            <w:tcW w:w="4938" w:type="dxa"/>
            <w:gridSpan w:val="5"/>
          </w:tcPr>
          <w:p w:rsidR="00F0419B" w:rsidRDefault="00F0419B">
            <w:pPr>
              <w:pStyle w:val="ConsPlusNormal"/>
            </w:pPr>
          </w:p>
        </w:tc>
        <w:tc>
          <w:tcPr>
            <w:tcW w:w="1710" w:type="dxa"/>
            <w:gridSpan w:val="2"/>
          </w:tcPr>
          <w:p w:rsidR="00F0419B" w:rsidRDefault="00F0419B">
            <w:pPr>
              <w:pStyle w:val="ConsPlusNormal"/>
            </w:pPr>
            <w:r>
              <w:t>Тип ТС</w:t>
            </w:r>
          </w:p>
        </w:tc>
        <w:tc>
          <w:tcPr>
            <w:tcW w:w="2754" w:type="dxa"/>
            <w:gridSpan w:val="3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1938" w:type="dxa"/>
          </w:tcPr>
          <w:p w:rsidR="00F0419B" w:rsidRDefault="00F0419B">
            <w:pPr>
              <w:pStyle w:val="ConsPlusNormal"/>
            </w:pPr>
            <w:r>
              <w:t>Бортовой номер</w:t>
            </w:r>
          </w:p>
        </w:tc>
        <w:tc>
          <w:tcPr>
            <w:tcW w:w="4938" w:type="dxa"/>
            <w:gridSpan w:val="5"/>
          </w:tcPr>
          <w:p w:rsidR="00F0419B" w:rsidRDefault="00F0419B">
            <w:pPr>
              <w:pStyle w:val="ConsPlusNormal"/>
            </w:pPr>
          </w:p>
        </w:tc>
        <w:tc>
          <w:tcPr>
            <w:tcW w:w="1710" w:type="dxa"/>
            <w:gridSpan w:val="2"/>
          </w:tcPr>
          <w:p w:rsidR="00F0419B" w:rsidRDefault="00F0419B">
            <w:pPr>
              <w:pStyle w:val="ConsPlusNormal"/>
            </w:pPr>
            <w:r>
              <w:t>Марка, модель ТС</w:t>
            </w:r>
          </w:p>
        </w:tc>
        <w:tc>
          <w:tcPr>
            <w:tcW w:w="2754" w:type="dxa"/>
            <w:gridSpan w:val="3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1938" w:type="dxa"/>
          </w:tcPr>
          <w:p w:rsidR="00F0419B" w:rsidRDefault="00F0419B">
            <w:pPr>
              <w:pStyle w:val="ConsPlusNormal"/>
            </w:pPr>
            <w:r>
              <w:t>Владелец ТС</w:t>
            </w:r>
          </w:p>
        </w:tc>
        <w:tc>
          <w:tcPr>
            <w:tcW w:w="9402" w:type="dxa"/>
            <w:gridSpan w:val="10"/>
          </w:tcPr>
          <w:p w:rsidR="00F0419B" w:rsidRDefault="00F0419B">
            <w:pPr>
              <w:pStyle w:val="ConsPlusNormal"/>
            </w:pPr>
          </w:p>
        </w:tc>
      </w:tr>
    </w:tbl>
    <w:p w:rsidR="00F0419B" w:rsidRDefault="00F041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"/>
        <w:gridCol w:w="2935"/>
        <w:gridCol w:w="309"/>
        <w:gridCol w:w="469"/>
        <w:gridCol w:w="3009"/>
        <w:gridCol w:w="353"/>
        <w:gridCol w:w="480"/>
        <w:gridCol w:w="2985"/>
        <w:gridCol w:w="361"/>
      </w:tblGrid>
      <w:tr w:rsidR="00F0419B">
        <w:tc>
          <w:tcPr>
            <w:tcW w:w="439" w:type="dxa"/>
          </w:tcPr>
          <w:p w:rsidR="00F0419B" w:rsidRDefault="00F0419B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Параметры и требования, предъявляемые к транспортным средствам при проведении технического осмотра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Параметры и требования, предъявляемые к транспортным средствам при проведении технического осмотра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Параметры и требования, предъявляемые к транспортным средствам при проведении технического осмотра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3683" w:type="dxa"/>
            <w:gridSpan w:val="3"/>
          </w:tcPr>
          <w:p w:rsidR="00F0419B" w:rsidRDefault="00F0419B">
            <w:pPr>
              <w:pStyle w:val="ConsPlusNormal"/>
              <w:jc w:val="center"/>
            </w:pPr>
            <w:r>
              <w:lastRenderedPageBreak/>
              <w:t>I. Тормозные системы</w:t>
            </w:r>
          </w:p>
        </w:tc>
        <w:tc>
          <w:tcPr>
            <w:tcW w:w="3831" w:type="dxa"/>
            <w:gridSpan w:val="3"/>
          </w:tcPr>
          <w:p w:rsidR="00F0419B" w:rsidRDefault="00F0419B">
            <w:pPr>
              <w:pStyle w:val="ConsPlusNormal"/>
              <w:jc w:val="center"/>
            </w:pPr>
            <w:r>
              <w:t>VI. Прочие элементы конструкции</w:t>
            </w:r>
          </w:p>
        </w:tc>
        <w:tc>
          <w:tcPr>
            <w:tcW w:w="480" w:type="dxa"/>
            <w:vMerge w:val="restart"/>
          </w:tcPr>
          <w:p w:rsidR="00F0419B" w:rsidRDefault="00F0419B">
            <w:pPr>
              <w:pStyle w:val="ConsPlusNormal"/>
            </w:pPr>
            <w:r>
              <w:t>31.</w:t>
            </w:r>
          </w:p>
        </w:tc>
        <w:tc>
          <w:tcPr>
            <w:tcW w:w="2985" w:type="dxa"/>
            <w:vMerge w:val="restart"/>
          </w:tcPr>
          <w:p w:rsidR="00F0419B" w:rsidRDefault="00F0419B">
            <w:pPr>
              <w:pStyle w:val="ConsPlusNormal"/>
              <w:jc w:val="center"/>
            </w:pPr>
            <w:r>
              <w:t>Отсутствие повреждений изоляционного покрытия поручней и подножек</w:t>
            </w:r>
          </w:p>
        </w:tc>
        <w:tc>
          <w:tcPr>
            <w:tcW w:w="361" w:type="dxa"/>
            <w:vMerge w:val="restart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1.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Эффективность рабочей тормозной системы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14.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Наличие зеркал заднего вида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  <w:vMerge/>
          </w:tcPr>
          <w:p w:rsidR="00F0419B" w:rsidRDefault="00F0419B"/>
        </w:tc>
        <w:tc>
          <w:tcPr>
            <w:tcW w:w="2985" w:type="dxa"/>
            <w:vMerge/>
          </w:tcPr>
          <w:p w:rsidR="00F0419B" w:rsidRDefault="00F0419B"/>
        </w:tc>
        <w:tc>
          <w:tcPr>
            <w:tcW w:w="361" w:type="dxa"/>
            <w:vMerge/>
          </w:tcPr>
          <w:p w:rsidR="00F0419B" w:rsidRDefault="00F0419B"/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2.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Эффективность стояночной тормозной системы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15.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ограничений обзорности с места водителя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32.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износа покрытия пола требованиям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3.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 xml:space="preserve">Работоспособность тормозной системы с </w:t>
            </w:r>
            <w:proofErr w:type="spellStart"/>
            <w:r>
              <w:t>пневмоприводом</w:t>
            </w:r>
            <w:proofErr w:type="spellEnd"/>
            <w:r>
              <w:t xml:space="preserve"> в режиме аварийного торможения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16.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светопропускания стекол требованиям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33.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Наличие на крыше неповрежденной электроизоляционной дорожки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4.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неисправностей пневматического (пневмогидравлического) привода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17.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трещин на ветровых стеклах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34.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Обеспечение подачи песка на головки рельсов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3683" w:type="dxa"/>
            <w:gridSpan w:val="3"/>
          </w:tcPr>
          <w:p w:rsidR="00F0419B" w:rsidRDefault="00F0419B">
            <w:pPr>
              <w:pStyle w:val="ConsPlusNormal"/>
              <w:jc w:val="center"/>
            </w:pPr>
            <w:r>
              <w:t>II. Рулевое управление</w:t>
            </w: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18.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Работоспособность замков дверей, устройств регулировки сидений, обогрева и обдува ветрового стекла, противоугонных устройств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35.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 xml:space="preserve">Соответствие </w:t>
            </w:r>
            <w:proofErr w:type="gramStart"/>
            <w:r>
              <w:t>шунта заземления кожухов печей</w:t>
            </w:r>
            <w:proofErr w:type="gramEnd"/>
            <w:r>
              <w:t xml:space="preserve"> требованиям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5.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действия рулевого управления требованиям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19.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Работоспособность привода и сигнализации дверей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36.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 xml:space="preserve">Соответствие </w:t>
            </w:r>
            <w:proofErr w:type="gramStart"/>
            <w:r>
              <w:t>высоты реборды бандажа колеса</w:t>
            </w:r>
            <w:proofErr w:type="gramEnd"/>
            <w:r>
              <w:t xml:space="preserve"> требованиям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3683" w:type="dxa"/>
            <w:gridSpan w:val="3"/>
          </w:tcPr>
          <w:p w:rsidR="00F0419B" w:rsidRDefault="00F0419B">
            <w:pPr>
              <w:pStyle w:val="ConsPlusNormal"/>
              <w:jc w:val="center"/>
            </w:pPr>
            <w:r>
              <w:t>III. Внешние световые приборы</w:t>
            </w: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20.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 xml:space="preserve">Обозначения аварийных выходов. Работоспособность аварийных выходов, приборов освещения выходов из салона (для пассажирских троллейбусов и трамвайных </w:t>
            </w:r>
            <w:r>
              <w:lastRenderedPageBreak/>
              <w:t>вагонов)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37.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расстояния между внутренними гранями бандажей колесной пары требованиям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применяемых внешних световых приборов требованиям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21.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Наличие работоспособного звукового сигнального прибора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38.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толщины бандажа требованиям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7.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неисправностей световых приборов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22.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Исправность буксировочного устройства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39.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выбоин на поверхности катания бандажа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8.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Работоспособность сигналов торможения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23.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Наличие знака аварийной остановки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40.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трещин на бандаже или колесном центре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9.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мест расположения и количества фар и сигнальных фонарей требованиям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24.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Наличие противооткатных упоров, соответствующих требованиям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41.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трещин на резинометаллических амортизаторах колес требованиям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3683" w:type="dxa"/>
            <w:gridSpan w:val="3"/>
          </w:tcPr>
          <w:p w:rsidR="00F0419B" w:rsidRDefault="00F0419B">
            <w:pPr>
              <w:pStyle w:val="ConsPlusNormal"/>
              <w:jc w:val="center"/>
            </w:pPr>
            <w:r>
              <w:t>IV. Стеклоочистители и стеклоомыватели</w:t>
            </w: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25.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Наличие огнетушителей, соответствующих требованиям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42.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 xml:space="preserve">Надежность затяжки и фиксации </w:t>
            </w:r>
            <w:proofErr w:type="gramStart"/>
            <w:r>
              <w:t>гаек крепления продольных балок тележки</w:t>
            </w:r>
            <w:proofErr w:type="gramEnd"/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10.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стеклоочистителей и стеклоомывателей требованиям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26.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крепления поручней, аккумуляторов, сидений, огнетушителей и аптечки требованиям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43.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 xml:space="preserve">Надежность затяжки и фиксации центральной гайки </w:t>
            </w:r>
            <w:proofErr w:type="spellStart"/>
            <w:r>
              <w:t>подрезиненного</w:t>
            </w:r>
            <w:proofErr w:type="spellEnd"/>
            <w:r>
              <w:t xml:space="preserve"> колеса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3683" w:type="dxa"/>
            <w:gridSpan w:val="3"/>
          </w:tcPr>
          <w:p w:rsidR="00F0419B" w:rsidRDefault="00F0419B">
            <w:pPr>
              <w:pStyle w:val="ConsPlusNormal"/>
              <w:jc w:val="center"/>
            </w:pPr>
            <w:r>
              <w:t>V. Шины и колеса</w:t>
            </w: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27.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каплепадения масел и рабочих жидкостей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44.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перемещения ступицы, поворота бандажа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11.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 xml:space="preserve">Соответствие </w:t>
            </w:r>
            <w:proofErr w:type="gramStart"/>
            <w:r>
              <w:t>глубины рисунка протектора шин</w:t>
            </w:r>
            <w:proofErr w:type="gramEnd"/>
            <w:r>
              <w:t xml:space="preserve"> требованиям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28.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заеданий в шарнирах, работоспособность устройств фиксации токоприемников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  <w:r>
              <w:t>45.</w:t>
            </w:r>
          </w:p>
        </w:tc>
        <w:tc>
          <w:tcPr>
            <w:tcW w:w="2985" w:type="dxa"/>
          </w:tcPr>
          <w:p w:rsidR="00F0419B" w:rsidRDefault="00F0419B">
            <w:pPr>
              <w:pStyle w:val="ConsPlusNormal"/>
              <w:jc w:val="center"/>
            </w:pPr>
            <w:r>
              <w:t>Работоспособность устройства или системы вызова экстренных оперативных служб</w:t>
            </w: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lastRenderedPageBreak/>
              <w:t>12.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Пригодность шин к эксплуатации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29.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Исправность контрольно-измерительных приборов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985" w:type="dxa"/>
          </w:tcPr>
          <w:p w:rsidR="00F0419B" w:rsidRDefault="00F0419B">
            <w:pPr>
              <w:pStyle w:val="ConsPlusNormal"/>
            </w:pP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  <w:tr w:rsidR="00F0419B">
        <w:tc>
          <w:tcPr>
            <w:tcW w:w="439" w:type="dxa"/>
          </w:tcPr>
          <w:p w:rsidR="00F0419B" w:rsidRDefault="00F0419B">
            <w:pPr>
              <w:pStyle w:val="ConsPlusNormal"/>
            </w:pPr>
            <w:r>
              <w:t>13.</w:t>
            </w:r>
          </w:p>
        </w:tc>
        <w:tc>
          <w:tcPr>
            <w:tcW w:w="2935" w:type="dxa"/>
          </w:tcPr>
          <w:p w:rsidR="00F0419B" w:rsidRDefault="00F0419B">
            <w:pPr>
              <w:pStyle w:val="ConsPlusNormal"/>
              <w:jc w:val="center"/>
            </w:pPr>
            <w:r>
              <w:t>Отсутствие неисправностей колес и шин</w:t>
            </w:r>
          </w:p>
        </w:tc>
        <w:tc>
          <w:tcPr>
            <w:tcW w:w="309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69" w:type="dxa"/>
          </w:tcPr>
          <w:p w:rsidR="00F0419B" w:rsidRDefault="00F0419B">
            <w:pPr>
              <w:pStyle w:val="ConsPlusNormal"/>
            </w:pPr>
            <w:r>
              <w:t>30.</w:t>
            </w:r>
          </w:p>
        </w:tc>
        <w:tc>
          <w:tcPr>
            <w:tcW w:w="3009" w:type="dxa"/>
          </w:tcPr>
          <w:p w:rsidR="00F0419B" w:rsidRDefault="00F0419B">
            <w:pPr>
              <w:pStyle w:val="ConsPlusNormal"/>
              <w:jc w:val="center"/>
            </w:pPr>
            <w:r>
              <w:t>Соответствие тока утечки требованиям</w:t>
            </w:r>
          </w:p>
        </w:tc>
        <w:tc>
          <w:tcPr>
            <w:tcW w:w="353" w:type="dxa"/>
          </w:tcPr>
          <w:p w:rsidR="00F0419B" w:rsidRDefault="00F0419B">
            <w:pPr>
              <w:pStyle w:val="ConsPlusNormal"/>
            </w:pPr>
          </w:p>
        </w:tc>
        <w:tc>
          <w:tcPr>
            <w:tcW w:w="480" w:type="dxa"/>
          </w:tcPr>
          <w:p w:rsidR="00F0419B" w:rsidRDefault="00F0419B">
            <w:pPr>
              <w:pStyle w:val="ConsPlusNormal"/>
            </w:pPr>
          </w:p>
        </w:tc>
        <w:tc>
          <w:tcPr>
            <w:tcW w:w="2985" w:type="dxa"/>
          </w:tcPr>
          <w:p w:rsidR="00F0419B" w:rsidRDefault="00F0419B">
            <w:pPr>
              <w:pStyle w:val="ConsPlusNormal"/>
            </w:pPr>
          </w:p>
        </w:tc>
        <w:tc>
          <w:tcPr>
            <w:tcW w:w="361" w:type="dxa"/>
          </w:tcPr>
          <w:p w:rsidR="00F0419B" w:rsidRDefault="00F0419B">
            <w:pPr>
              <w:pStyle w:val="ConsPlusNormal"/>
            </w:pPr>
          </w:p>
        </w:tc>
      </w:tr>
    </w:tbl>
    <w:p w:rsidR="00F0419B" w:rsidRDefault="00F0419B">
      <w:pPr>
        <w:pStyle w:val="ConsPlusNormal"/>
        <w:jc w:val="both"/>
      </w:pPr>
    </w:p>
    <w:p w:rsidR="00F0419B" w:rsidRDefault="00F0419B">
      <w:pPr>
        <w:pStyle w:val="ConsPlusNonformat"/>
        <w:jc w:val="both"/>
      </w:pPr>
      <w:r>
        <w:t xml:space="preserve">                                                          Оборотная сторона</w:t>
      </w:r>
    </w:p>
    <w:p w:rsidR="00F0419B" w:rsidRDefault="00F041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56"/>
        <w:gridCol w:w="612"/>
        <w:gridCol w:w="1223"/>
        <w:gridCol w:w="1288"/>
        <w:gridCol w:w="3736"/>
        <w:gridCol w:w="2689"/>
      </w:tblGrid>
      <w:tr w:rsidR="00F0419B">
        <w:tc>
          <w:tcPr>
            <w:tcW w:w="11204" w:type="dxa"/>
            <w:gridSpan w:val="6"/>
          </w:tcPr>
          <w:p w:rsidR="00F0419B" w:rsidRDefault="00F0419B">
            <w:pPr>
              <w:pStyle w:val="ConsPlusNormal"/>
              <w:jc w:val="center"/>
            </w:pPr>
            <w:r>
              <w:t>Результаты диагностирования</w:t>
            </w:r>
          </w:p>
        </w:tc>
      </w:tr>
      <w:tr w:rsidR="00F0419B">
        <w:tc>
          <w:tcPr>
            <w:tcW w:w="8515" w:type="dxa"/>
            <w:gridSpan w:val="5"/>
          </w:tcPr>
          <w:p w:rsidR="00F0419B" w:rsidRDefault="00F0419B">
            <w:pPr>
              <w:pStyle w:val="ConsPlusNormal"/>
              <w:jc w:val="center"/>
            </w:pPr>
            <w:r>
              <w:t>Параметры, по которым установлено несоответствие</w:t>
            </w:r>
          </w:p>
        </w:tc>
        <w:tc>
          <w:tcPr>
            <w:tcW w:w="2689" w:type="dxa"/>
            <w:vMerge w:val="restart"/>
          </w:tcPr>
          <w:p w:rsidR="00F0419B" w:rsidRDefault="00F0419B">
            <w:pPr>
              <w:pStyle w:val="ConsPlusNormal"/>
              <w:jc w:val="center"/>
            </w:pPr>
            <w:r>
              <w:t>Пункт диагностической карты</w:t>
            </w:r>
          </w:p>
        </w:tc>
      </w:tr>
      <w:tr w:rsidR="00F0419B">
        <w:tc>
          <w:tcPr>
            <w:tcW w:w="1656" w:type="dxa"/>
          </w:tcPr>
          <w:p w:rsidR="00F0419B" w:rsidRDefault="00F0419B">
            <w:pPr>
              <w:pStyle w:val="ConsPlusNormal"/>
              <w:jc w:val="center"/>
            </w:pPr>
            <w:r>
              <w:t>Нижняя граница</w:t>
            </w:r>
          </w:p>
        </w:tc>
        <w:tc>
          <w:tcPr>
            <w:tcW w:w="1835" w:type="dxa"/>
            <w:gridSpan w:val="2"/>
          </w:tcPr>
          <w:p w:rsidR="00F0419B" w:rsidRDefault="00F0419B">
            <w:pPr>
              <w:pStyle w:val="ConsPlusNormal"/>
              <w:jc w:val="center"/>
            </w:pPr>
            <w:r>
              <w:t>Результат проверки</w:t>
            </w:r>
          </w:p>
        </w:tc>
        <w:tc>
          <w:tcPr>
            <w:tcW w:w="1288" w:type="dxa"/>
          </w:tcPr>
          <w:p w:rsidR="00F0419B" w:rsidRDefault="00F0419B">
            <w:pPr>
              <w:pStyle w:val="ConsPlusNormal"/>
              <w:jc w:val="center"/>
            </w:pPr>
            <w:r>
              <w:t>Верхняя граница</w:t>
            </w:r>
          </w:p>
        </w:tc>
        <w:tc>
          <w:tcPr>
            <w:tcW w:w="3736" w:type="dxa"/>
          </w:tcPr>
          <w:p w:rsidR="00F0419B" w:rsidRDefault="00F0419B">
            <w:pPr>
              <w:pStyle w:val="ConsPlusNormal"/>
              <w:jc w:val="center"/>
            </w:pPr>
            <w:r>
              <w:t>Наименование параметра</w:t>
            </w:r>
          </w:p>
        </w:tc>
        <w:tc>
          <w:tcPr>
            <w:tcW w:w="2689" w:type="dxa"/>
            <w:vMerge/>
          </w:tcPr>
          <w:p w:rsidR="00F0419B" w:rsidRDefault="00F0419B"/>
        </w:tc>
      </w:tr>
      <w:tr w:rsidR="00F0419B">
        <w:tc>
          <w:tcPr>
            <w:tcW w:w="165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835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288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373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165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835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288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373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165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835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288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373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165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835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288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373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165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835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288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373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165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835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288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373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165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835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288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373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165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835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1288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3736" w:type="dxa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8515" w:type="dxa"/>
            <w:gridSpan w:val="5"/>
          </w:tcPr>
          <w:p w:rsidR="00F0419B" w:rsidRDefault="00F0419B">
            <w:pPr>
              <w:pStyle w:val="ConsPlusNormal"/>
              <w:jc w:val="center"/>
            </w:pPr>
            <w:r>
              <w:t>Невыполненные требования</w:t>
            </w:r>
          </w:p>
        </w:tc>
        <w:tc>
          <w:tcPr>
            <w:tcW w:w="2689" w:type="dxa"/>
            <w:vMerge w:val="restart"/>
          </w:tcPr>
          <w:p w:rsidR="00F0419B" w:rsidRDefault="00F0419B">
            <w:pPr>
              <w:pStyle w:val="ConsPlusNormal"/>
              <w:jc w:val="center"/>
            </w:pPr>
          </w:p>
        </w:tc>
      </w:tr>
      <w:tr w:rsidR="00F0419B">
        <w:tc>
          <w:tcPr>
            <w:tcW w:w="2268" w:type="dxa"/>
            <w:gridSpan w:val="2"/>
          </w:tcPr>
          <w:p w:rsidR="00F0419B" w:rsidRDefault="00F0419B">
            <w:pPr>
              <w:pStyle w:val="ConsPlusNormal"/>
              <w:jc w:val="center"/>
            </w:pPr>
            <w:r>
              <w:t>Предмет проверки (узел, деталь, агрегат)</w:t>
            </w:r>
          </w:p>
        </w:tc>
        <w:tc>
          <w:tcPr>
            <w:tcW w:w="6247" w:type="dxa"/>
            <w:gridSpan w:val="3"/>
          </w:tcPr>
          <w:p w:rsidR="00F0419B" w:rsidRDefault="00F0419B">
            <w:pPr>
              <w:pStyle w:val="ConsPlusNormal"/>
              <w:jc w:val="center"/>
            </w:pPr>
            <w:r>
              <w:t>Содержание невыполненного требования (с указанием нормативного источника)</w:t>
            </w:r>
          </w:p>
        </w:tc>
        <w:tc>
          <w:tcPr>
            <w:tcW w:w="2689" w:type="dxa"/>
            <w:vMerge/>
          </w:tcPr>
          <w:p w:rsidR="00F0419B" w:rsidRDefault="00F0419B"/>
        </w:tc>
      </w:tr>
      <w:tr w:rsidR="00F0419B">
        <w:tc>
          <w:tcPr>
            <w:tcW w:w="2268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6247" w:type="dxa"/>
            <w:gridSpan w:val="3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2268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6247" w:type="dxa"/>
            <w:gridSpan w:val="3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2268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6247" w:type="dxa"/>
            <w:gridSpan w:val="3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2268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6247" w:type="dxa"/>
            <w:gridSpan w:val="3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2268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6247" w:type="dxa"/>
            <w:gridSpan w:val="3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2268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6247" w:type="dxa"/>
            <w:gridSpan w:val="3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2268" w:type="dxa"/>
            <w:gridSpan w:val="2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6247" w:type="dxa"/>
            <w:gridSpan w:val="3"/>
          </w:tcPr>
          <w:p w:rsidR="00F0419B" w:rsidRDefault="00F0419B">
            <w:pPr>
              <w:pStyle w:val="ConsPlusNormal"/>
              <w:jc w:val="both"/>
            </w:pPr>
          </w:p>
        </w:tc>
        <w:tc>
          <w:tcPr>
            <w:tcW w:w="2689" w:type="dxa"/>
          </w:tcPr>
          <w:p w:rsidR="00F0419B" w:rsidRDefault="00F0419B">
            <w:pPr>
              <w:pStyle w:val="ConsPlusNormal"/>
              <w:jc w:val="both"/>
            </w:pPr>
          </w:p>
        </w:tc>
      </w:tr>
      <w:tr w:rsidR="00F0419B">
        <w:tc>
          <w:tcPr>
            <w:tcW w:w="11204" w:type="dxa"/>
            <w:gridSpan w:val="6"/>
          </w:tcPr>
          <w:p w:rsidR="00F0419B" w:rsidRDefault="00F0419B">
            <w:pPr>
              <w:pStyle w:val="ConsPlusNormal"/>
            </w:pPr>
            <w:r>
              <w:t>Примечания:</w:t>
            </w:r>
          </w:p>
        </w:tc>
      </w:tr>
      <w:tr w:rsidR="00F0419B">
        <w:tc>
          <w:tcPr>
            <w:tcW w:w="11204" w:type="dxa"/>
            <w:gridSpan w:val="6"/>
          </w:tcPr>
          <w:p w:rsidR="00F0419B" w:rsidRDefault="00F0419B">
            <w:pPr>
              <w:pStyle w:val="ConsPlusNormal"/>
              <w:jc w:val="both"/>
            </w:pPr>
          </w:p>
        </w:tc>
      </w:tr>
    </w:tbl>
    <w:p w:rsidR="00F0419B" w:rsidRDefault="00F0419B">
      <w:pPr>
        <w:pStyle w:val="ConsPlusNormal"/>
        <w:jc w:val="both"/>
      </w:pPr>
    </w:p>
    <w:p w:rsidR="00F0419B" w:rsidRDefault="00F0419B">
      <w:pPr>
        <w:pStyle w:val="ConsPlusCell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F0419B" w:rsidRDefault="00F0419B">
      <w:pPr>
        <w:pStyle w:val="ConsPlusCell"/>
        <w:jc w:val="both"/>
      </w:pPr>
      <w:r>
        <w:t>│                      Данные транспортного средства                      │</w:t>
      </w:r>
    </w:p>
    <w:p w:rsidR="00F0419B" w:rsidRDefault="00F0419B">
      <w:pPr>
        <w:pStyle w:val="ConsPlusCell"/>
        <w:jc w:val="both"/>
      </w:pPr>
      <w:r>
        <w:t>├───────────────────┬─────────────────┬───────────────────┬───────────────┤</w:t>
      </w:r>
    </w:p>
    <w:p w:rsidR="00F0419B" w:rsidRDefault="00F0419B">
      <w:pPr>
        <w:pStyle w:val="ConsPlusCell"/>
        <w:jc w:val="both"/>
      </w:pPr>
      <w:r>
        <w:t>│Масса без нагрузки │                 │Разрешенная        │               │</w:t>
      </w:r>
    </w:p>
    <w:p w:rsidR="00F0419B" w:rsidRDefault="00F0419B">
      <w:pPr>
        <w:pStyle w:val="ConsPlusCell"/>
        <w:jc w:val="both"/>
      </w:pPr>
      <w:r>
        <w:t>│                   │                 │максимальная масса │               │</w:t>
      </w:r>
    </w:p>
    <w:p w:rsidR="00F0419B" w:rsidRDefault="00F0419B">
      <w:pPr>
        <w:pStyle w:val="ConsPlusCell"/>
        <w:jc w:val="both"/>
      </w:pPr>
      <w:r>
        <w:t>├───────────────────┼─────────────────┼───────────────────┼───────────────┤</w:t>
      </w:r>
    </w:p>
    <w:p w:rsidR="00F0419B" w:rsidRDefault="00F0419B">
      <w:pPr>
        <w:pStyle w:val="ConsPlusCell"/>
        <w:jc w:val="both"/>
      </w:pPr>
      <w:r>
        <w:t>│Тип тормозной      │                 │</w:t>
      </w:r>
      <w:proofErr w:type="gramStart"/>
      <w:r>
        <w:t>Подъемное</w:t>
      </w:r>
      <w:proofErr w:type="gramEnd"/>
      <w:r>
        <w:t xml:space="preserve">          │               │</w:t>
      </w:r>
    </w:p>
    <w:p w:rsidR="00F0419B" w:rsidRDefault="00F0419B">
      <w:pPr>
        <w:pStyle w:val="ConsPlusCell"/>
        <w:jc w:val="both"/>
      </w:pPr>
      <w:r>
        <w:t>│системы            │                 │устройство для     │               │</w:t>
      </w:r>
    </w:p>
    <w:p w:rsidR="00F0419B" w:rsidRDefault="00F0419B">
      <w:pPr>
        <w:pStyle w:val="ConsPlusCell"/>
        <w:jc w:val="both"/>
      </w:pPr>
      <w:r>
        <w:t>│                   │                 │инвалидной коляски │               │</w:t>
      </w:r>
    </w:p>
    <w:p w:rsidR="00F0419B" w:rsidRDefault="00F0419B">
      <w:pPr>
        <w:pStyle w:val="ConsPlusCell"/>
        <w:jc w:val="both"/>
      </w:pPr>
      <w:r>
        <w:t>├───────────────────┼─────────────────┼───────────────────┼───────────────┤</w:t>
      </w:r>
    </w:p>
    <w:p w:rsidR="00F0419B" w:rsidRDefault="00F0419B">
      <w:pPr>
        <w:pStyle w:val="ConsPlusCell"/>
        <w:jc w:val="both"/>
      </w:pPr>
      <w:r>
        <w:t>│Наличие            │                 │Расположение пола  │               │</w:t>
      </w:r>
    </w:p>
    <w:p w:rsidR="00F0419B" w:rsidRDefault="00F0419B">
      <w:pPr>
        <w:pStyle w:val="ConsPlusCell"/>
        <w:jc w:val="both"/>
      </w:pPr>
      <w:r>
        <w:t>│антиблокировочной  │                 │                   │               │</w:t>
      </w:r>
    </w:p>
    <w:p w:rsidR="00F0419B" w:rsidRDefault="00F0419B">
      <w:pPr>
        <w:pStyle w:val="ConsPlusCell"/>
        <w:jc w:val="both"/>
      </w:pPr>
      <w:r>
        <w:t>│системы торможения │                 │                   │               │</w:t>
      </w:r>
    </w:p>
    <w:p w:rsidR="00F0419B" w:rsidRDefault="00F0419B">
      <w:pPr>
        <w:pStyle w:val="ConsPlusCell"/>
        <w:jc w:val="both"/>
      </w:pPr>
      <w:r>
        <w:t>├───────────────────┼─────────────────┴───────────────────┴───────────────┤</w:t>
      </w:r>
    </w:p>
    <w:p w:rsidR="00F0419B" w:rsidRDefault="00F0419B">
      <w:pPr>
        <w:pStyle w:val="ConsPlusCell"/>
        <w:jc w:val="both"/>
      </w:pPr>
      <w:r>
        <w:t>│Марка шин          │                                                     │</w:t>
      </w:r>
    </w:p>
    <w:p w:rsidR="00F0419B" w:rsidRDefault="00F0419B">
      <w:pPr>
        <w:pStyle w:val="ConsPlusCell"/>
        <w:jc w:val="both"/>
      </w:pPr>
      <w:r>
        <w:t>├───────────────────┴─────────────────────────────────────────────────────┤</w:t>
      </w:r>
    </w:p>
    <w:p w:rsidR="00F0419B" w:rsidRDefault="00F0419B">
      <w:pPr>
        <w:pStyle w:val="ConsPlusCell"/>
        <w:jc w:val="both"/>
      </w:pPr>
      <w:r>
        <w:t>│Заключение о                        ┌───────────┬────────────┐           │</w:t>
      </w:r>
    </w:p>
    <w:p w:rsidR="00F0419B" w:rsidRDefault="00F0419B">
      <w:pPr>
        <w:pStyle w:val="ConsPlusCell"/>
        <w:jc w:val="both"/>
      </w:pPr>
      <w:r>
        <w:t>│возможности                         │возможна   │ невозможна │           │</w:t>
      </w:r>
    </w:p>
    <w:p w:rsidR="00F0419B" w:rsidRDefault="00F0419B">
      <w:pPr>
        <w:pStyle w:val="ConsPlusCell"/>
        <w:jc w:val="both"/>
      </w:pPr>
      <w:r>
        <w:t>│эксплуатации                        └───────────┴────────────┘           │</w:t>
      </w:r>
    </w:p>
    <w:p w:rsidR="00F0419B" w:rsidRDefault="00F0419B">
      <w:pPr>
        <w:pStyle w:val="ConsPlusCell"/>
        <w:jc w:val="both"/>
      </w:pPr>
      <w:r>
        <w:t>│транспортного средства                                                   │</w:t>
      </w:r>
    </w:p>
    <w:p w:rsidR="00F0419B" w:rsidRDefault="00F0419B">
      <w:pPr>
        <w:pStyle w:val="ConsPlusCell"/>
        <w:jc w:val="both"/>
      </w:pPr>
      <w:r>
        <w:lastRenderedPageBreak/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F0419B" w:rsidRDefault="00F041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38"/>
        <w:gridCol w:w="3566"/>
      </w:tblGrid>
      <w:tr w:rsidR="00F0419B">
        <w:tc>
          <w:tcPr>
            <w:tcW w:w="7638" w:type="dxa"/>
          </w:tcPr>
          <w:p w:rsidR="00F0419B" w:rsidRDefault="00F0419B">
            <w:pPr>
              <w:pStyle w:val="ConsPlusNormal"/>
              <w:ind w:firstLine="283"/>
              <w:jc w:val="both"/>
            </w:pPr>
            <w:r>
              <w:t>Пункты диагностической карты, требующие повторной проверки:</w:t>
            </w:r>
          </w:p>
        </w:tc>
        <w:tc>
          <w:tcPr>
            <w:tcW w:w="3566" w:type="dxa"/>
            <w:vMerge w:val="restart"/>
          </w:tcPr>
          <w:p w:rsidR="00F0419B" w:rsidRDefault="00F0419B">
            <w:pPr>
              <w:pStyle w:val="ConsPlusNormal"/>
              <w:jc w:val="center"/>
            </w:pPr>
          </w:p>
        </w:tc>
      </w:tr>
      <w:tr w:rsidR="00F0419B">
        <w:tc>
          <w:tcPr>
            <w:tcW w:w="7638" w:type="dxa"/>
          </w:tcPr>
          <w:p w:rsidR="00F0419B" w:rsidRDefault="00F0419B">
            <w:pPr>
              <w:pStyle w:val="ConsPlusNormal"/>
              <w:jc w:val="center"/>
            </w:pPr>
          </w:p>
        </w:tc>
        <w:tc>
          <w:tcPr>
            <w:tcW w:w="3566" w:type="dxa"/>
            <w:vMerge/>
          </w:tcPr>
          <w:p w:rsidR="00F0419B" w:rsidRDefault="00F0419B"/>
        </w:tc>
      </w:tr>
      <w:tr w:rsidR="00F0419B">
        <w:tc>
          <w:tcPr>
            <w:tcW w:w="7638" w:type="dxa"/>
          </w:tcPr>
          <w:p w:rsidR="00F0419B" w:rsidRDefault="00F0419B">
            <w:pPr>
              <w:pStyle w:val="ConsPlusNormal"/>
              <w:jc w:val="center"/>
            </w:pPr>
          </w:p>
        </w:tc>
        <w:tc>
          <w:tcPr>
            <w:tcW w:w="3566" w:type="dxa"/>
            <w:vMerge/>
          </w:tcPr>
          <w:p w:rsidR="00F0419B" w:rsidRDefault="00F0419B"/>
        </w:tc>
      </w:tr>
      <w:tr w:rsidR="00F0419B">
        <w:tc>
          <w:tcPr>
            <w:tcW w:w="7638" w:type="dxa"/>
          </w:tcPr>
          <w:p w:rsidR="00F0419B" w:rsidRDefault="00F0419B">
            <w:pPr>
              <w:pStyle w:val="ConsPlusNormal"/>
              <w:jc w:val="center"/>
            </w:pPr>
          </w:p>
        </w:tc>
        <w:tc>
          <w:tcPr>
            <w:tcW w:w="3566" w:type="dxa"/>
            <w:vMerge/>
          </w:tcPr>
          <w:p w:rsidR="00F0419B" w:rsidRDefault="00F0419B"/>
        </w:tc>
      </w:tr>
    </w:tbl>
    <w:p w:rsidR="00F0419B" w:rsidRDefault="00F0419B">
      <w:pPr>
        <w:pStyle w:val="ConsPlusNormal"/>
        <w:jc w:val="both"/>
      </w:pPr>
    </w:p>
    <w:p w:rsidR="00F0419B" w:rsidRDefault="00F0419B">
      <w:pPr>
        <w:pStyle w:val="ConsPlusNonformat"/>
        <w:jc w:val="both"/>
      </w:pPr>
      <w:r>
        <w:t>┌───────┬─┬─┬─┬─┬─┬─┬─┬─┬─────────────────────────────────────────────────┐</w:t>
      </w:r>
    </w:p>
    <w:p w:rsidR="00F0419B" w:rsidRDefault="00F0419B">
      <w:pPr>
        <w:pStyle w:val="ConsPlusNonformat"/>
        <w:jc w:val="both"/>
      </w:pPr>
      <w:r>
        <w:t>│Дата   │ │ │ │ │ │ │ │ │                                                 │</w:t>
      </w:r>
    </w:p>
    <w:p w:rsidR="00F0419B" w:rsidRDefault="00F0419B">
      <w:pPr>
        <w:pStyle w:val="ConsPlusNonformat"/>
        <w:jc w:val="both"/>
      </w:pPr>
      <w:r>
        <w:t>│       └─┴─┴─┴─┴─┴─┴─┴─┘                                                 │</w:t>
      </w:r>
    </w:p>
    <w:p w:rsidR="00F0419B" w:rsidRDefault="00F0419B">
      <w:pPr>
        <w:pStyle w:val="ConsPlusNonformat"/>
        <w:jc w:val="both"/>
      </w:pPr>
      <w:r>
        <w:t>│                                                                         │</w:t>
      </w:r>
    </w:p>
    <w:p w:rsidR="00F0419B" w:rsidRDefault="00F0419B">
      <w:pPr>
        <w:pStyle w:val="ConsPlusNonformat"/>
        <w:jc w:val="both"/>
      </w:pPr>
      <w:r>
        <w:t>│Ф.И.О. технического эксперта                                             │</w:t>
      </w:r>
    </w:p>
    <w:p w:rsidR="00F0419B" w:rsidRDefault="00F0419B">
      <w:pPr>
        <w:pStyle w:val="ConsPlusNonformat"/>
        <w:jc w:val="both"/>
      </w:pPr>
      <w:r>
        <w:t>│                                                                         │</w:t>
      </w:r>
    </w:p>
    <w:p w:rsidR="00F0419B" w:rsidRDefault="00F0419B">
      <w:pPr>
        <w:pStyle w:val="ConsPlusNonformat"/>
        <w:jc w:val="both"/>
      </w:pPr>
      <w:r>
        <w:t>│Подпись                                                                  │</w:t>
      </w:r>
    </w:p>
    <w:p w:rsidR="00F0419B" w:rsidRDefault="00F0419B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F0419B" w:rsidRDefault="00F0419B">
      <w:pPr>
        <w:pStyle w:val="ConsPlusNormal"/>
      </w:pPr>
    </w:p>
    <w:p w:rsidR="00F0419B" w:rsidRDefault="00F0419B">
      <w:pPr>
        <w:pStyle w:val="ConsPlusNormal"/>
      </w:pPr>
    </w:p>
    <w:p w:rsidR="00F0419B" w:rsidRDefault="00F041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50DD3" w:rsidRDefault="00B50DD3"/>
    <w:sectPr w:rsidR="00B50DD3" w:rsidSect="0086622A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19B"/>
    <w:rsid w:val="00B50DD3"/>
    <w:rsid w:val="00F0419B"/>
    <w:rsid w:val="00FA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41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041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041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041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041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041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041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41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041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041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041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041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041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041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58EB04EBEA2F44688A10F17252C51935D0F5B7F8A9B050D3A9C0C8C3F0826A7B7B361711E15CE4BWAN8L" TargetMode="External"/><Relationship Id="rId18" Type="http://schemas.openxmlformats.org/officeDocument/2006/relationships/hyperlink" Target="consultantplus://offline/ref=058EB04EBEA2F44688A10F17252C51935D035A708B9B050D3A9C0C8C3F0826A7B7B361711E15CE48WANEL" TargetMode="External"/><Relationship Id="rId26" Type="http://schemas.openxmlformats.org/officeDocument/2006/relationships/hyperlink" Target="consultantplus://offline/ref=058EB04EBEA2F44688A10F17252C51935D01597E8E9B050D3A9C0C8C3F0826A7B7B361711E15CE4CWAN8L" TargetMode="External"/><Relationship Id="rId39" Type="http://schemas.openxmlformats.org/officeDocument/2006/relationships/hyperlink" Target="consultantplus://offline/ref=058EB04EBEA2F44688A10F17252C51935D0E5B76889D050D3A9C0C8C3F0826A7B7B361711E16CF4DWANDL" TargetMode="External"/><Relationship Id="rId21" Type="http://schemas.openxmlformats.org/officeDocument/2006/relationships/hyperlink" Target="consultantplus://offline/ref=058EB04EBEA2F44688A10F17252C51935D025D708F91050D3A9C0C8C3F0826A7B7B361711E15CD41WANEL" TargetMode="External"/><Relationship Id="rId34" Type="http://schemas.openxmlformats.org/officeDocument/2006/relationships/hyperlink" Target="consultantplus://offline/ref=058EB04EBEA2F44688A10F17252C51935D0E5B76889D050D3A9C0C8C3F0826A7B7B361711E16CE40WANFL" TargetMode="External"/><Relationship Id="rId42" Type="http://schemas.openxmlformats.org/officeDocument/2006/relationships/hyperlink" Target="consultantplus://offline/ref=058EB04EBEA2F44688A10F17252C51935D0E5B76889D050D3A9C0C8C3F0826A7B7B361711E16CF4BWANCL" TargetMode="External"/><Relationship Id="rId47" Type="http://schemas.openxmlformats.org/officeDocument/2006/relationships/hyperlink" Target="consultantplus://offline/ref=058EB04EBEA2F44688A10F17252C51935D0E5B76889D050D3A9C0C8C3F0826A7B7B361711E16CD40WANAL" TargetMode="External"/><Relationship Id="rId50" Type="http://schemas.openxmlformats.org/officeDocument/2006/relationships/hyperlink" Target="consultantplus://offline/ref=058EB04EBEA2F44688A10F17252C51935D0E5B76889D050D3A9C0C8C3F0826A7B7B361711E16CC49WAN7L" TargetMode="External"/><Relationship Id="rId55" Type="http://schemas.openxmlformats.org/officeDocument/2006/relationships/hyperlink" Target="consultantplus://offline/ref=058EB04EBEA2F44688A10F17252C51935D0E5B76889D050D3A9C0C8C3F0826A7B7B361711E16CB48WANCL" TargetMode="External"/><Relationship Id="rId63" Type="http://schemas.openxmlformats.org/officeDocument/2006/relationships/hyperlink" Target="consultantplus://offline/ref=058EB04EBEA2F44688A10F17252C51935D045373809E050D3A9C0C8C3F0826A7B7B361711E15CE4EWANDL" TargetMode="External"/><Relationship Id="rId68" Type="http://schemas.openxmlformats.org/officeDocument/2006/relationships/theme" Target="theme/theme1.xml"/><Relationship Id="rId7" Type="http://schemas.openxmlformats.org/officeDocument/2006/relationships/hyperlink" Target="consultantplus://offline/ref=058EB04EBEA2F44688A10F17252C51935D0F5B7F8A9B050D3A9C0C8C3F0826A7B7B361711E15CE4BWAN8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58EB04EBEA2F44688A10F17252C51935D0F53728C9A050D3A9C0C8C3F0826A7B7B361711E15CE49WAN7L" TargetMode="External"/><Relationship Id="rId29" Type="http://schemas.openxmlformats.org/officeDocument/2006/relationships/hyperlink" Target="consultantplus://offline/ref=058EB04EBEA2F44688A10F17252C51935D0F53728C9A050D3A9C0C8C3F0826A7B7B361711E15CE48WANB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58EB04EBEA2F44688A10F17252C51935D015D7E8A9D050D3A9C0C8C3F0826A7B7B361711E15CE49WANBL" TargetMode="External"/><Relationship Id="rId11" Type="http://schemas.openxmlformats.org/officeDocument/2006/relationships/hyperlink" Target="consultantplus://offline/ref=058EB04EBEA2F44688A10F17252C51935D045373809E050D3A9C0C8C3F0826A7B7B361711E15CE4EWANEL" TargetMode="External"/><Relationship Id="rId24" Type="http://schemas.openxmlformats.org/officeDocument/2006/relationships/hyperlink" Target="consultantplus://offline/ref=058EB04EBEA2F44688A10F17252C51935D0F53728C9A050D3A9C0C8C3F0826A7B7B361711E15CE48WANFL" TargetMode="External"/><Relationship Id="rId32" Type="http://schemas.openxmlformats.org/officeDocument/2006/relationships/hyperlink" Target="consultantplus://offline/ref=058EB04EBEA2F44688A10F17252C51935D0E5B76889D050D3A9C0C8C3F0826A7B7B361711E16CE4EWAN9L" TargetMode="External"/><Relationship Id="rId37" Type="http://schemas.openxmlformats.org/officeDocument/2006/relationships/hyperlink" Target="consultantplus://offline/ref=058EB04EBEA2F44688A10F17252C51935D0E5B76889D050D3A9C0C8C3F0826A7B7B361711E16CF48WAN9L" TargetMode="External"/><Relationship Id="rId40" Type="http://schemas.openxmlformats.org/officeDocument/2006/relationships/hyperlink" Target="consultantplus://offline/ref=058EB04EBEA2F44688A10F17252C51935D0E5B76889D050D3A9C0C8C3F0826A7B7B361711E16CF4DWANBL" TargetMode="External"/><Relationship Id="rId45" Type="http://schemas.openxmlformats.org/officeDocument/2006/relationships/hyperlink" Target="consultantplus://offline/ref=058EB04EBEA2F44688A10F17252C51935D0E5B76889D050D3A9C0C8C3F0826A7B7B361711E16CD41WANBL" TargetMode="External"/><Relationship Id="rId53" Type="http://schemas.openxmlformats.org/officeDocument/2006/relationships/hyperlink" Target="consultantplus://offline/ref=058EB04EBEA2F44688A10F17252C51935D0E5B76889D050D3A9C0C8C3F0826A7B7B361711E16CB4AWANFL" TargetMode="External"/><Relationship Id="rId58" Type="http://schemas.openxmlformats.org/officeDocument/2006/relationships/hyperlink" Target="consultantplus://offline/ref=058EB04EBEA2F44688A10F17252C51935D0E5B76889D050D3A9C0C8C3F0826A7B7B361711E16CB48WAN8L" TargetMode="External"/><Relationship Id="rId66" Type="http://schemas.openxmlformats.org/officeDocument/2006/relationships/hyperlink" Target="consultantplus://offline/ref=058EB04EBEA2F44688A10F17252C51935D0F53728C9A050D3A9C0C8C3F0826A7B7B361711E15CC48WANDL" TargetMode="External"/><Relationship Id="rId5" Type="http://schemas.openxmlformats.org/officeDocument/2006/relationships/hyperlink" Target="consultantplus://offline/ref=058EB04EBEA2F44688A10F17252C51935D045373809E050D3A9C0C8C3F0826A7B7B361711E15CE4EWANEL" TargetMode="External"/><Relationship Id="rId15" Type="http://schemas.openxmlformats.org/officeDocument/2006/relationships/hyperlink" Target="consultantplus://offline/ref=058EB04EBEA2F44688A10F17252C51935D0F53728C9A050D3A9C0C8C3F0826A7B7B361711E15CE49WANBL" TargetMode="External"/><Relationship Id="rId23" Type="http://schemas.openxmlformats.org/officeDocument/2006/relationships/hyperlink" Target="consultantplus://offline/ref=058EB04EBEA2F44688A10F17252C51935D015D7E8A9D050D3A9C0C8C3F0826A7B7B361711E15CE49WAN7L" TargetMode="External"/><Relationship Id="rId28" Type="http://schemas.openxmlformats.org/officeDocument/2006/relationships/hyperlink" Target="consultantplus://offline/ref=058EB04EBEA2F44688A10F17252C51935D045373809E050D3A9C0C8C3F0826A7B7B361711E15CE4EWANEL" TargetMode="External"/><Relationship Id="rId36" Type="http://schemas.openxmlformats.org/officeDocument/2006/relationships/hyperlink" Target="consultantplus://offline/ref=058EB04EBEA2F44688A10F17252C51935D0E5B76889D050D3A9C0C8C3F0826A7B7B361711E16CF49WAN7L" TargetMode="External"/><Relationship Id="rId49" Type="http://schemas.openxmlformats.org/officeDocument/2006/relationships/hyperlink" Target="consultantplus://offline/ref=058EB04EBEA2F44688A10F17252C51935D0E5B76889D050D3A9C0C8C3F0826A7B7B361711E16CC49WAN6L" TargetMode="External"/><Relationship Id="rId57" Type="http://schemas.openxmlformats.org/officeDocument/2006/relationships/hyperlink" Target="consultantplus://offline/ref=058EB04EBEA2F44688A10F17252C51935D0E5B76889D050D3A9C0C8C3F0826A7B7B361711E16CB48WANBL" TargetMode="External"/><Relationship Id="rId61" Type="http://schemas.openxmlformats.org/officeDocument/2006/relationships/hyperlink" Target="consultantplus://offline/ref=058EB04EBEA2F44688A10C023C2C51935E07537F83CF520F6BC902W8N9L" TargetMode="External"/><Relationship Id="rId10" Type="http://schemas.openxmlformats.org/officeDocument/2006/relationships/hyperlink" Target="consultantplus://offline/ref=058EB04EBEA2F44688A10F17252C51935D025D708F91050D3A9C0C8C3F0826A7B7B361711E15CE4AWANEL" TargetMode="External"/><Relationship Id="rId19" Type="http://schemas.openxmlformats.org/officeDocument/2006/relationships/hyperlink" Target="consultantplus://offline/ref=058EB04EBEA2F44688A10F17252C51935D0F537E809B050D3A9C0C8C3F0826A7B7B361711E15CC41WANDL" TargetMode="External"/><Relationship Id="rId31" Type="http://schemas.openxmlformats.org/officeDocument/2006/relationships/hyperlink" Target="consultantplus://offline/ref=058EB04EBEA2F44688A10F17252C51935D0E5B76889D050D3A9C0C8C3F0826A7B7B361711E16CE48WAN9L" TargetMode="External"/><Relationship Id="rId44" Type="http://schemas.openxmlformats.org/officeDocument/2006/relationships/hyperlink" Target="consultantplus://offline/ref=058EB04EBEA2F44688A10F17252C51935D0E5B76889D050D3A9C0C8C3F0826A7B7B361711E16CC48WAN9L" TargetMode="External"/><Relationship Id="rId52" Type="http://schemas.openxmlformats.org/officeDocument/2006/relationships/hyperlink" Target="consultantplus://offline/ref=058EB04EBEA2F44688A10F17252C51935D0E5B76889D050D3A9C0C8C3F0826A7B7B361711E16CA41WAN7L" TargetMode="External"/><Relationship Id="rId60" Type="http://schemas.openxmlformats.org/officeDocument/2006/relationships/hyperlink" Target="consultantplus://offline/ref=058EB04EBEA2F44688A10F17252C51935D0F53728C9A050D3A9C0C8C3F0826A7B7B361711E15CF48WANAL" TargetMode="External"/><Relationship Id="rId65" Type="http://schemas.openxmlformats.org/officeDocument/2006/relationships/hyperlink" Target="consultantplus://offline/ref=058EB04EBEA2F44688A10F17252C51935D0F5B7F8A9B050D3A9C0C8C3F0826A7B7B361711E15CE4AWANC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58EB04EBEA2F44688A10F17252C51935D0F53728C9A050D3A9C0C8C3F0826A7B7B361711E15CE49WANBL" TargetMode="External"/><Relationship Id="rId14" Type="http://schemas.openxmlformats.org/officeDocument/2006/relationships/hyperlink" Target="consultantplus://offline/ref=058EB04EBEA2F44688A10F17252C51935D0F537E809B050D3A9C0C8C3F0826A7B7B361711E15CC41WANDL" TargetMode="External"/><Relationship Id="rId22" Type="http://schemas.openxmlformats.org/officeDocument/2006/relationships/hyperlink" Target="consultantplus://offline/ref=058EB04EBEA2F44688A10F17252C51935D055F778D9F050D3A9C0C8C3F0826A7B7B361711E15CE48WANCL" TargetMode="External"/><Relationship Id="rId27" Type="http://schemas.openxmlformats.org/officeDocument/2006/relationships/hyperlink" Target="consultantplus://offline/ref=058EB04EBEA2F44688A10F17252C51935D025D708F91050D3A9C0C8C3F0826A7B7B361711E15CF40WAN7L" TargetMode="External"/><Relationship Id="rId30" Type="http://schemas.openxmlformats.org/officeDocument/2006/relationships/hyperlink" Target="consultantplus://offline/ref=058EB04EBEA2F44688A10F17252C51935D0E5B76889D050D3A9C0C8C3F0826A7B7B361711E16CE48WANAL" TargetMode="External"/><Relationship Id="rId35" Type="http://schemas.openxmlformats.org/officeDocument/2006/relationships/hyperlink" Target="consultantplus://offline/ref=058EB04EBEA2F44688A10F17252C51935D0E5B76889D050D3A9C0C8C3F0826A7B7B361711E16CF49WANFL" TargetMode="External"/><Relationship Id="rId43" Type="http://schemas.openxmlformats.org/officeDocument/2006/relationships/hyperlink" Target="consultantplus://offline/ref=058EB04EBEA2F44688A10F17252C51935D0E5B76889D050D3A9C0C8C3F0826A7B7B361711E16CC48WAN8L" TargetMode="External"/><Relationship Id="rId48" Type="http://schemas.openxmlformats.org/officeDocument/2006/relationships/hyperlink" Target="consultantplus://offline/ref=058EB04EBEA2F44688A10F17252C51935D0E5B76889D050D3A9C0C8C3F0826A7B7B361711E16CC48WAN7L" TargetMode="External"/><Relationship Id="rId56" Type="http://schemas.openxmlformats.org/officeDocument/2006/relationships/hyperlink" Target="consultantplus://offline/ref=058EB04EBEA2F44688A10F17252C51935D0E5B76889D050D3A9C0C8C3F0826A7B7B361711E16CB48WANAL" TargetMode="External"/><Relationship Id="rId64" Type="http://schemas.openxmlformats.org/officeDocument/2006/relationships/hyperlink" Target="consultantplus://offline/ref=058EB04EBEA2F44688A10F17252C51935D015D7E8A9D050D3A9C0C8C3F0826A7B7B361711E15CE4DWANAL" TargetMode="External"/><Relationship Id="rId8" Type="http://schemas.openxmlformats.org/officeDocument/2006/relationships/hyperlink" Target="consultantplus://offline/ref=058EB04EBEA2F44688A10F17252C51935D0F537E809B050D3A9C0C8C3F0826A7B7B361711E15CC41WANDL" TargetMode="External"/><Relationship Id="rId51" Type="http://schemas.openxmlformats.org/officeDocument/2006/relationships/hyperlink" Target="consultantplus://offline/ref=058EB04EBEA2F44688A10F17252C51935D0E5B76889D050D3A9C0C8C3F0826A7B7B361711E16CC48WANBL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058EB04EBEA2F44688A10F17252C51935D015D7E8A9D050D3A9C0C8C3F0826A7B7B361711E15CE49WANBL" TargetMode="External"/><Relationship Id="rId17" Type="http://schemas.openxmlformats.org/officeDocument/2006/relationships/hyperlink" Target="consultantplus://offline/ref=058EB04EBEA2F44688A10F17252C51935D045370899D050D3A9C0C8C3F0826A7B7B361711E15CE48WANEL" TargetMode="External"/><Relationship Id="rId25" Type="http://schemas.openxmlformats.org/officeDocument/2006/relationships/hyperlink" Target="consultantplus://offline/ref=058EB04EBEA2F44688A10F17252C51935D055F758A9A050D3A9C0C8C3F0826A7B7B361711E15CE49WAN7L" TargetMode="External"/><Relationship Id="rId33" Type="http://schemas.openxmlformats.org/officeDocument/2006/relationships/hyperlink" Target="consultantplus://offline/ref=058EB04EBEA2F44688A10F17252C51935D0E5B76889D050D3A9C0C8C3F0826A7B7B361711E16CE41WAN8L" TargetMode="External"/><Relationship Id="rId38" Type="http://schemas.openxmlformats.org/officeDocument/2006/relationships/hyperlink" Target="consultantplus://offline/ref=058EB04EBEA2F44688A10F17252C51935D0E5B76889D050D3A9C0C8C3F0826A7B7B361711E16CF48WAN6L" TargetMode="External"/><Relationship Id="rId46" Type="http://schemas.openxmlformats.org/officeDocument/2006/relationships/hyperlink" Target="consultantplus://offline/ref=058EB04EBEA2F44688A10F17252C51935D0E5B76889D050D3A9C0C8C3F0826A7B7B361711E16CD41WANDL" TargetMode="External"/><Relationship Id="rId59" Type="http://schemas.openxmlformats.org/officeDocument/2006/relationships/hyperlink" Target="consultantplus://offline/ref=058EB04EBEA2F44688A10F17252C51935D0E5B76889D050D3A9C0C8C3F0826A7B7B36174W1NAL" TargetMode="External"/><Relationship Id="rId67" Type="http://schemas.openxmlformats.org/officeDocument/2006/relationships/fontTable" Target="fontTable.xml"/><Relationship Id="rId20" Type="http://schemas.openxmlformats.org/officeDocument/2006/relationships/hyperlink" Target="consultantplus://offline/ref=058EB04EBEA2F44688A10F17252C51935D025D708F91050D3A9C0C8C3FW0N8L" TargetMode="External"/><Relationship Id="rId41" Type="http://schemas.openxmlformats.org/officeDocument/2006/relationships/hyperlink" Target="consultantplus://offline/ref=058EB04EBEA2F44688A10F17252C51935D0E5B76889D050D3A9C0C8C3F0826A7B7B361711E16CF40WANBL" TargetMode="External"/><Relationship Id="rId54" Type="http://schemas.openxmlformats.org/officeDocument/2006/relationships/hyperlink" Target="consultantplus://offline/ref=058EB04EBEA2F44688A10F17252C51935D0E5B76889D050D3A9C0C8C3F0826A7B7B361711E16CA40WANFL" TargetMode="External"/><Relationship Id="rId62" Type="http://schemas.openxmlformats.org/officeDocument/2006/relationships/hyperlink" Target="consultantplus://offline/ref=058EB04EBEA2F44688A10C023C2C51935E07537F83CF520F6BC902W8N9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5654</Words>
  <Characters>32231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Сергей Скакун</cp:lastModifiedBy>
  <cp:revision>2</cp:revision>
  <dcterms:created xsi:type="dcterms:W3CDTF">2016-04-19T11:13:00Z</dcterms:created>
  <dcterms:modified xsi:type="dcterms:W3CDTF">2016-10-20T03:30:00Z</dcterms:modified>
</cp:coreProperties>
</file>